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29311702-424b3_merlin.htm"/>
      <w:bookmarkStart w:id="1" w:name="ksea029311702424b3_merlin"/>
      <w:bookmarkEnd w:id="0"/>
      <w:bookmarkEnd w:id="1"/>
      <w:r>
        <w:rPr>
          <w:rFonts w:ascii="Times New Roman;Times;Serif" w:hAnsi="Times New Roman;Times;Serif"/>
          <w:b w:val="false"/>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333-295578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No. 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240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amends and supplements the prospectus dated May 13, 2026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(Registration No. 333-295578). Capitalized terms used in this prospectus supplement and not otherwise defined herein have the meanings specified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amend and supplement the information included in the Prospectus with the information contained in:</w:t>
      </w:r>
    </w:p>
    <w:p>
      <w:pPr>
        <w:pStyle w:val="TextBody"/>
        <w:bidi w:val="0"/>
        <w:spacing w:before="0" w:after="0"/>
        <w:ind w:left="1080" w:right="0" w:hanging="36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Quarterly Report on Form 10-Q filed with the SEC on May 15, 2026, which is set forth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Inc.’s Common Stock is listed on the Nasdaq Stock Market LLC under the symbol “MRLN”. On June 1, 2026, the closing price of our Common Stock was $7.18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such terms are defined under the federal securities laws and, as such, are subject to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“Risk Factors” of the Prospectus, and under similar headings in any amendments or supplements to the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June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001-42392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28" w:type="dxa"/>
          <w:right w:w="0" w:type="dxa"/>
        </w:tblCellMar>
      </w:tblPr>
      <w:tblGrid>
        <w:gridCol w:w="2855"/>
        <w:gridCol w:w="60"/>
        <w:gridCol w:w="1835"/>
      </w:tblGrid>
      <w:tr>
        <w:trPr/>
        <w:tc>
          <w:tcPr>
            <w:tcW w:w="285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b/>
              </w:rPr>
            </w:pPr>
            <w:r>
              <w:rPr>
                <w:b/>
              </w:rPr>
              <w:t>98-1797826</w:t>
            </w:r>
          </w:p>
        </w:tc>
      </w:tr>
      <w:tr>
        <w:trPr/>
        <w:tc>
          <w:tcPr>
            <w:tcW w:w="2855"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 xml:space="preserve">(I.R.S. Employer </w:t>
              <w:br/>
              <w:t xml:space="preserve">Identification No.)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Causeway, Floor 23, Boston, MA 02114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226-9968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MRLN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060"/>
        <w:gridCol w:w="1580"/>
        <w:gridCol w:w="2465"/>
      </w:tblGrid>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158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13, 2026, there were 96,524,052 shares of common stock, par value $0.0001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 ended 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75"/>
        <w:gridCol w:w="920"/>
        <w:gridCol w:w="8555"/>
        <w:gridCol w:w="275"/>
      </w:tblGrid>
      <w:tr>
        <w:trPr/>
        <w:tc>
          <w:tcPr>
            <w:tcW w:w="9550"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rPr>
                <w:t>PART I – FINANCIAL INFORMATION</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7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55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rPr>
                <w:t xml:space="preserve">Item 1. </w:t>
              </w:r>
            </w:hyperlink>
          </w:p>
        </w:tc>
        <w:tc>
          <w:tcPr>
            <w:tcW w:w="855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rPr>
                <w:t xml:space="preserve">Financial Statements (Unaudited) </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rPr>
                <w:t xml:space="preserve">Item 2. </w:t>
              </w:r>
            </w:hyperlink>
          </w:p>
        </w:tc>
        <w:tc>
          <w:tcPr>
            <w:tcW w:w="855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rPr>
                <w:t xml:space="preserve">Management’s Discussion and Analysis of Financial Condition and Results of Operations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rPr>
                <w:t xml:space="preserve">Item 3. </w:t>
              </w:r>
            </w:hyperlink>
          </w:p>
        </w:tc>
        <w:tc>
          <w:tcPr>
            <w:tcW w:w="855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rPr>
                <w:t xml:space="preserve">Quantitative and Qualitative Disclosures About Market Risk </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rPr>
                <w:t xml:space="preserve">Item 4. </w:t>
              </w:r>
            </w:hyperlink>
          </w:p>
        </w:tc>
        <w:tc>
          <w:tcPr>
            <w:tcW w:w="855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rPr>
                <w:t xml:space="preserve">Controls and Procedures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r>
      <w:tr>
        <w:trPr/>
        <w:tc>
          <w:tcPr>
            <w:tcW w:w="7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5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550" w:type="dxa"/>
            <w:gridSpan w:val="3"/>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rPr>
                <w:t>PART II – OTHER INFORMATION</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r>
      <w:tr>
        <w:trPr/>
        <w:tc>
          <w:tcPr>
            <w:tcW w:w="9550" w:type="dxa"/>
            <w:gridSpan w:val="3"/>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sz w:val="4"/>
                <w:szCs w:val="4"/>
              </w:rPr>
            </w:pPr>
            <w:r>
              <w:rPr>
                <w:sz w:val="4"/>
                <w:szCs w:val="4"/>
              </w:rPr>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rPr>
                <w:t xml:space="preserve">Item 1. </w:t>
              </w:r>
            </w:hyperlink>
          </w:p>
        </w:tc>
        <w:tc>
          <w:tcPr>
            <w:tcW w:w="855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rPr>
                <w:t xml:space="preserve">Legal Proceedings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rPr>
                <w:t xml:space="preserve">Item 1A. </w:t>
              </w:r>
            </w:hyperlink>
          </w:p>
        </w:tc>
        <w:tc>
          <w:tcPr>
            <w:tcW w:w="855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rPr>
                <w:t xml:space="preserve">Risk Factors </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45</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rPr>
                <w:t xml:space="preserve">Item 2. </w:t>
              </w:r>
            </w:hyperlink>
          </w:p>
        </w:tc>
        <w:tc>
          <w:tcPr>
            <w:tcW w:w="855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rPr>
                <w:t xml:space="preserve">Unregistered Sales of Equity Securities and Use of Proceeds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rPr>
                <w:t xml:space="preserve">Item 3. </w:t>
              </w:r>
            </w:hyperlink>
          </w:p>
        </w:tc>
        <w:tc>
          <w:tcPr>
            <w:tcW w:w="855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rPr>
                <w:t xml:space="preserve">Defaults Upon Senior Securities </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rPr>
                <w:t xml:space="preserve">Item 4. </w:t>
              </w:r>
            </w:hyperlink>
          </w:p>
        </w:tc>
        <w:tc>
          <w:tcPr>
            <w:tcW w:w="855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rPr>
                <w:t xml:space="preserve">Mine Safety Disclosures </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75"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rPr>
                <w:t xml:space="preserve">Item 5. </w:t>
              </w:r>
            </w:hyperlink>
          </w:p>
        </w:tc>
        <w:tc>
          <w:tcPr>
            <w:tcW w:w="855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rPr>
                <w:t xml:space="preserve">Other Information </w:t>
              </w:r>
            </w:hyperlink>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rPr>
                <w:t xml:space="preserve">Item 6. </w:t>
              </w:r>
            </w:hyperlink>
          </w:p>
        </w:tc>
        <w:tc>
          <w:tcPr>
            <w:tcW w:w="855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rPr>
                <w:t>Exhibits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w:t>
            </w:r>
          </w:p>
        </w:tc>
      </w:tr>
      <w:tr>
        <w:trPr/>
        <w:tc>
          <w:tcPr>
            <w:tcW w:w="7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55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9550" w:type="dxa"/>
            <w:gridSpan w:val="3"/>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rPr>
                <w:t>SIGNATURES</w:t>
              </w:r>
            </w:hyperlink>
          </w:p>
        </w:tc>
        <w:tc>
          <w:tcPr>
            <w:tcW w:w="2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the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Times;Serif" w:hAnsi="Times New Roman;Times;Serif"/>
          <w:b/>
          <w:i/>
          <w:caps w:val="false"/>
          <w:smallCaps w:val="false"/>
          <w:sz w:val="20"/>
        </w:rPr>
        <w:t>-</w:t>
      </w:r>
      <w:r>
        <w:rPr>
          <w:rFonts w:ascii="Times New Roman;Times;Serif" w:hAnsi="Times New Roman;Times;Serif"/>
          <w:b w:val="false"/>
          <w:i/>
          <w:caps w:val="false"/>
          <w:smallCaps w:val="false"/>
          <w:sz w:val="20"/>
        </w:rPr>
        <w:t>economic and geopolitical conditions and rising inflation; delays or disruptions from changes in the certification process, potential government shutdowns, budget reductions, and shifting regulatory priorities, which could jeopardize customer commitments and milestones, postpone commercialization, and adversely affect our business, results of operations, and financial condition; and the other factors detailed under the section entitled “Risk Factors” of our final prospectus, dated May 13, 2026, filed with the Securities and Exchange Commission (the “SEC”) on May 13, 2026 and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March 31, 2026 and references to the “Prospectus” refer to the final prospectus, dated May 13, 2026, filed with the SEC on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Times;Serif" w:hAnsi="Times New Roman;Times;Serif"/>
          <w:b w:val="false"/>
          <w:i/>
          <w:caps w:val="false"/>
          <w:smallCaps w:val="false"/>
          <w:sz w:val="20"/>
        </w:rPr>
        <w:t>www.merlinlabs.com</w:t>
      </w:r>
      <w:r>
        <w:rPr>
          <w:rFonts w:ascii="Times New Roman;Times;Serif" w:hAnsi="Times New Roman;Times;Serif"/>
          <w:b w:val="false"/>
          <w:i w:val="false"/>
          <w:caps w:val="false"/>
          <w:smallCaps w:val="false"/>
          <w:sz w:val="20"/>
        </w:rPr>
        <w:t xml:space="preserve"> as soon as reasonably practicable after filing such material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announce material business and financial information to our investors using our investor relations website at </w:t>
      </w:r>
      <w:r>
        <w:rPr>
          <w:rFonts w:ascii="Times New Roman;Times;Serif" w:hAnsi="Times New Roman;Times;Serif"/>
          <w:b w:val="false"/>
          <w:i/>
          <w:caps w:val="false"/>
          <w:smallCaps w:val="false"/>
          <w:sz w:val="20"/>
        </w:rPr>
        <w:t>http://investors.merlinlabs.com/</w:t>
      </w:r>
      <w:r>
        <w:rPr>
          <w:rFonts w:ascii="Times New Roman;Times;Serif" w:hAnsi="Times New Roman;Times;Serif"/>
          <w:b w:val="false"/>
          <w:i w:val="false"/>
          <w:caps w:val="false"/>
          <w:smallCaps w:val="false"/>
          <w:sz w:val="20"/>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PART I – FINANCIAL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jc w:val="center"/>
        <w:rPr>
          <w:rFonts w:ascii="Times New Roman;Times;Serif" w:hAnsi="Times New Roman;Times;Serif"/>
          <w:b/>
          <w:i w:val="false"/>
          <w:caps w:val="false"/>
          <w:smallCaps w:val="false"/>
          <w:sz w:val="20"/>
        </w:rPr>
      </w:pPr>
      <w:bookmarkStart w:id="4" w:name="a_015"/>
      <w:bookmarkEnd w:id="4"/>
      <w:r>
        <w:rPr>
          <w:rFonts w:ascii="Times New Roman;Times;Serif" w:hAnsi="Times New Roman;Times;Serif"/>
          <w:b/>
          <w:i w:val="false"/>
          <w:caps w:val="false"/>
          <w:smallCaps w:val="false"/>
          <w:sz w:val="20"/>
        </w:rPr>
        <w:t>CONDENSED CONSOLIDATED BALANCE SHEETS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7"/>
        <w:gridCol w:w="60"/>
        <w:gridCol w:w="142"/>
        <w:gridCol w:w="889"/>
        <w:gridCol w:w="95"/>
        <w:gridCol w:w="60"/>
        <w:gridCol w:w="195"/>
        <w:gridCol w:w="1220"/>
        <w:gridCol w:w="87"/>
      </w:tblGrid>
      <w:tr>
        <w:trPr/>
        <w:tc>
          <w:tcPr>
            <w:tcW w:w="745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87" w:type="dxa"/>
            <w:tcBorders/>
            <w:vAlign w:val="center"/>
          </w:tcPr>
          <w:p>
            <w:pPr>
              <w:pStyle w:val="TableContents"/>
              <w:bidi w:val="0"/>
              <w:spacing w:before="0" w:after="283"/>
              <w:ind w:left="0" w:right="0" w:hanging="180"/>
              <w:jc w:val="left"/>
              <w:rPr/>
            </w:pPr>
            <w:r>
              <w:rPr/>
              <w:t> </w:t>
            </w:r>
          </w:p>
        </w:tc>
      </w:tr>
      <w:tr>
        <w:trPr/>
        <w:tc>
          <w:tcPr>
            <w:tcW w:w="74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7" w:type="dxa"/>
            <w:tcBorders/>
            <w:vAlign w:val="center"/>
          </w:tcPr>
          <w:p>
            <w:pPr>
              <w:pStyle w:val="TableContents"/>
              <w:bidi w:val="0"/>
              <w:spacing w:before="0" w:after="283"/>
              <w:ind w:left="0" w:right="0" w:hanging="180"/>
              <w:jc w:val="left"/>
              <w:rPr/>
            </w:pPr>
            <w:r>
              <w:rPr/>
              <w:t> </w:t>
            </w:r>
          </w:p>
        </w:tc>
      </w:tr>
      <w:tr>
        <w:trPr/>
        <w:tc>
          <w:tcPr>
            <w:tcW w:w="745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45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122,777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59,343</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368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5,570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3,328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Capitalized transaction costs (Note 2)</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7,562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130,014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70,931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10,285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7,108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2,401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979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2,569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107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1,564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145,376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b/>
              </w:rPr>
            </w:pPr>
            <w:r>
              <w:rPr>
                <w:b/>
              </w:rPr>
              <w:t>LIABILITIES, MEZZANINE EQUITY, AND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6,855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3,154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7,937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Long-term debt, current portion, net ($19,175 at fair value and $96 at amortized cost, net as of December 31, 2025) (Note 8)</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19,271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Convertible promissory notes (Note 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29,107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Contract loss provision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4,173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977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657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14,913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64,299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Long-term debt, non-current portion, net ($12,207 at fair value and $577 at amortized cost, net as of December 31, 2025) (Note 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12,784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1,442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331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Warrant liabilities (Note 9)</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87,803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76,766</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104,158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154,180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Commitments and contingencies (Note 14)</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Series A Preferred Stock: $0.0001 par value; 50,000,000 shares authorized and 21,711,880 shares issued and outstanding as of March 31, 2026. (Note 10)</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180,331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Common stock: $0.0001 par value; 800,000,000 and 138,655,675 shares authorized; 84,544,557 and 70,959,389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45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502,351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477,448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45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(641,472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(551,053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457" w:type="dxa"/>
            <w:tcBorders/>
            <w:shd w:fill="FFFFFF" w:val="clear"/>
            <w:vAlign w:val="center"/>
          </w:tcPr>
          <w:p>
            <w:pPr>
              <w:pStyle w:val="TableContents"/>
              <w:bidi w:val="0"/>
              <w:spacing w:before="0" w:after="283"/>
              <w:jc w:val="left"/>
              <w:rPr/>
            </w:pPr>
            <w:r>
              <w:rPr/>
              <w:t>Total stockholders’ deficit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(139,113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(73,598</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7457" w:type="dxa"/>
            <w:tcBorders/>
            <w:shd w:fill="CCEEFF" w:val="clear"/>
            <w:vAlign w:val="center"/>
          </w:tcPr>
          <w:p>
            <w:pPr>
              <w:pStyle w:val="TableContents"/>
              <w:bidi w:val="0"/>
              <w:spacing w:before="0" w:after="283"/>
              <w:jc w:val="left"/>
              <w:rPr/>
            </w:pPr>
            <w:r>
              <w:rPr/>
              <w:t>Total liabilities, mezzanine equity, and stockholders’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145,376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80,582</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16"/>
      <w:bookmarkEnd w:id="5"/>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6740" w:type="dxa"/>
        <w:jc w:val="left"/>
        <w:tblInd w:w="0" w:type="dxa"/>
        <w:tblLayout w:type="fixed"/>
        <w:tblCellMar>
          <w:top w:w="0" w:type="dxa"/>
          <w:left w:w="0" w:type="dxa"/>
          <w:bottom w:w="0" w:type="dxa"/>
          <w:right w:w="0" w:type="dxa"/>
        </w:tblCellMar>
      </w:tblPr>
      <w:tblGrid>
        <w:gridCol w:w="4295"/>
        <w:gridCol w:w="60"/>
        <w:gridCol w:w="125"/>
        <w:gridCol w:w="950"/>
        <w:gridCol w:w="80"/>
        <w:gridCol w:w="60"/>
        <w:gridCol w:w="125"/>
        <w:gridCol w:w="950"/>
        <w:gridCol w:w="9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loss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 dividends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72,421,272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70,947,705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17"/>
      <w:bookmarkEnd w:id="6"/>
      <w:r>
        <w:rPr>
          <w:rFonts w:ascii="Times New Roman;Times;Serif" w:hAnsi="Times New Roman;Times;Serif"/>
          <w:b/>
          <w:i w:val="false"/>
          <w:caps w:val="false"/>
          <w:smallCaps w:val="false"/>
          <w:sz w:val="20"/>
        </w:rPr>
        <w:t>CONDENSED CONSOLIDATED STATEMENTS OF MEZZANINE EQUITY AND STOCKHOLDERS’ DEFICIT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1255" w:type="dxa"/>
        <w:jc w:val="left"/>
        <w:tblInd w:w="0" w:type="dxa"/>
        <w:tblLayout w:type="fixed"/>
        <w:tblCellMar>
          <w:top w:w="0" w:type="dxa"/>
          <w:left w:w="0" w:type="dxa"/>
          <w:bottom w:w="0" w:type="dxa"/>
          <w:right w:w="0" w:type="dxa"/>
        </w:tblCellMar>
      </w:tblPr>
      <w:tblGrid>
        <w:gridCol w:w="1310"/>
        <w:gridCol w:w="60"/>
        <w:gridCol w:w="60"/>
        <w:gridCol w:w="950"/>
        <w:gridCol w:w="80"/>
        <w:gridCol w:w="60"/>
        <w:gridCol w:w="125"/>
        <w:gridCol w:w="695"/>
        <w:gridCol w:w="80"/>
        <w:gridCol w:w="60"/>
        <w:gridCol w:w="60"/>
        <w:gridCol w:w="1010"/>
        <w:gridCol w:w="80"/>
        <w:gridCol w:w="60"/>
        <w:gridCol w:w="125"/>
        <w:gridCol w:w="755"/>
        <w:gridCol w:w="80"/>
        <w:gridCol w:w="60"/>
        <w:gridCol w:w="60"/>
        <w:gridCol w:w="950"/>
        <w:gridCol w:w="60"/>
        <w:gridCol w:w="60"/>
        <w:gridCol w:w="225"/>
        <w:gridCol w:w="470"/>
        <w:gridCol w:w="60"/>
        <w:gridCol w:w="60"/>
        <w:gridCol w:w="140"/>
        <w:gridCol w:w="780"/>
        <w:gridCol w:w="80"/>
        <w:gridCol w:w="60"/>
        <w:gridCol w:w="160"/>
        <w:gridCol w:w="970"/>
        <w:gridCol w:w="80"/>
        <w:gridCol w:w="60"/>
        <w:gridCol w:w="166"/>
        <w:gridCol w:w="1009"/>
        <w:gridCol w:w="95"/>
      </w:tblGrid>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A</w:t>
              <w:br/>
              <w:t>Preferred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Redeemable Convertible Preferred Stock</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 Deficit</w:t>
            </w:r>
          </w:p>
        </w:tc>
        <w:tc>
          <w:tcPr>
            <w:tcW w:w="95" w:type="dxa"/>
            <w:tcBorders/>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17,696,748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130,616</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5,169,812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(131,522</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(17,696,748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65,750,960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130,616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balances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70,920,772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(135,532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(12,733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Balances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70,959,389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(13,116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17,154,902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461,963</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(535,561</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(17,154,902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64,357,145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461,963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69,663,395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477,448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(73,598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Equity-based payments to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redeemable convertible preferred stock upon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Pre-PIPE Bridge and Pre-Funded PIPE Notes to 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9,754,665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Series A Preferred Stock in exchange for 2024 LSA Amendment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Series A Preferred Stock in connection with the PIPE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11,470,590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in connection with the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13,750,282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17,266</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Series A Preferred Stock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A Preferred Stock dividends and accretion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(90,419</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Balances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21,711,880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84,544,557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(641,472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(139,113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shares of the Company’s common stock and mezzanine equity have been retrospectively recast to reflect the change in the capital structure as a result of the Merger as described in Note 3. Reverse Recapitalization.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18"/>
      <w:bookmarkEnd w:id="7"/>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2"/>
        <w:gridCol w:w="60"/>
        <w:gridCol w:w="151"/>
        <w:gridCol w:w="869"/>
        <w:gridCol w:w="102"/>
        <w:gridCol w:w="64"/>
        <w:gridCol w:w="151"/>
        <w:gridCol w:w="820"/>
        <w:gridCol w:w="116"/>
      </w:tblGrid>
      <w:tr>
        <w:trPr/>
        <w:tc>
          <w:tcPr>
            <w:tcW w:w="7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6" w:type="dxa"/>
            <w:tcBorders/>
            <w:vAlign w:val="center"/>
          </w:tcPr>
          <w:p>
            <w:pPr>
              <w:pStyle w:val="TableContents"/>
              <w:bidi w:val="0"/>
              <w:spacing w:before="0" w:after="283"/>
              <w:jc w:val="left"/>
              <w:rPr/>
            </w:pPr>
            <w:r>
              <w:rPr/>
              <w:t> </w:t>
            </w:r>
          </w:p>
        </w:tc>
      </w:tr>
      <w:tr>
        <w:trPr/>
        <w:tc>
          <w:tcPr>
            <w:tcW w:w="78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7872"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20"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71"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(90,419</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(12,733</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417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381</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1,295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513</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Equity-based payments to non-employees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643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209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183</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401</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Gain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(2</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(26,555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(46</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87,824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Loss on foreign currency exchange rate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127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63</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1,514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Write-off of capitalized transactions costs related to issuance of PIPE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1,226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(974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(32</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(2,245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(507</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(63</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3,699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(336</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3,253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(112</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Contract loss provision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(3,435</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(672</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(201</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FFFFFF" w:val="clear"/>
            <w:tcMar>
              <w:bottom w:w="28" w:type="dxa"/>
            </w:tcMar>
            <w:vAlign w:val="center"/>
          </w:tcPr>
          <w:p>
            <w:pPr>
              <w:pStyle w:val="TableContents"/>
              <w:bidi w:val="0"/>
              <w:spacing w:before="0" w:after="283"/>
              <w:jc w:val="right"/>
              <w:rPr/>
            </w:pPr>
            <w:r>
              <w:rPr/>
              <w:t>(183</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(23,644</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(13,081</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Additions of property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69" w:type="dxa"/>
            <w:tcBorders/>
            <w:shd w:fill="FFFFFF" w:val="clear"/>
            <w:vAlign w:val="center"/>
          </w:tcPr>
          <w:p>
            <w:pPr>
              <w:pStyle w:val="TableContents"/>
              <w:bidi w:val="0"/>
              <w:spacing w:before="0" w:after="283"/>
              <w:jc w:val="right"/>
              <w:rPr/>
            </w:pPr>
            <w:r>
              <w:rPr/>
              <w:t>(2,159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20" w:type="dxa"/>
            <w:tcBorders/>
            <w:shd w:fill="FFFFFF" w:val="clear"/>
            <w:vAlign w:val="center"/>
          </w:tcPr>
          <w:p>
            <w:pPr>
              <w:pStyle w:val="TableContents"/>
              <w:bidi w:val="0"/>
              <w:spacing w:before="0" w:after="283"/>
              <w:jc w:val="right"/>
              <w:rPr/>
            </w:pPr>
            <w:r>
              <w:rPr/>
              <w:t>(94</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Proceeds from sales of property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(2,159</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single" w:sz="12" w:space="0" w:color="000000"/>
            </w:tcBorders>
            <w:shd w:fill="FFFFFF" w:val="clear"/>
            <w:tcMar>
              <w:bottom w:w="28" w:type="dxa"/>
            </w:tcMar>
            <w:vAlign w:val="center"/>
          </w:tcPr>
          <w:p>
            <w:pPr>
              <w:pStyle w:val="TableContents"/>
              <w:bidi w:val="0"/>
              <w:spacing w:before="0" w:after="283"/>
              <w:jc w:val="right"/>
              <w:rPr/>
            </w:pPr>
            <w:r>
              <w:rPr/>
              <w:t>(79</w:t>
            </w:r>
          </w:p>
        </w:tc>
        <w:tc>
          <w:tcPr>
            <w:tcW w:w="116" w:type="dxa"/>
            <w:tcBorders/>
            <w:shd w:fill="FFFFFF" w:val="clear"/>
            <w:vAlign w:val="center"/>
          </w:tcPr>
          <w:p>
            <w:pPr>
              <w:pStyle w:val="TableContents"/>
              <w:bidi w:val="0"/>
              <w:spacing w:before="0" w:after="283"/>
              <w:jc w:val="left"/>
              <w:rPr/>
            </w:pPr>
            <w:r>
              <w:rPr/>
              <w:t>)</w:t>
            </w:r>
          </w:p>
        </w:tc>
      </w:tr>
      <w:tr>
        <w:trPr/>
        <w:tc>
          <w:tcPr>
            <w:tcW w:w="7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Proceeds from issuance of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48,195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Proceeds from issuance of Series A Preferred Stock in connection with PIPE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71,805</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Repayments of long-term debt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(33,639</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(1,557</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Issuance of common stock in connection with the Merger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26,290</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7872" w:type="dxa"/>
            <w:tcBorders/>
            <w:shd w:fill="CCEEFF" w:val="clear"/>
            <w:vAlign w:val="center"/>
          </w:tcPr>
          <w:p>
            <w:pPr>
              <w:pStyle w:val="TableContents"/>
              <w:bidi w:val="0"/>
              <w:spacing w:before="0" w:after="283"/>
              <w:jc w:val="left"/>
              <w:rPr/>
            </w:pPr>
            <w:r>
              <w:rPr/>
              <w:t>Payment of transaction costs related to issuance of Series A Preferred Stock in connection with PIPE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(10,482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7872" w:type="dxa"/>
            <w:tcBorders/>
            <w:shd w:fill="FFFFFF" w:val="clear"/>
            <w:vAlign w:val="center"/>
          </w:tcPr>
          <w:p>
            <w:pPr>
              <w:pStyle w:val="TableContents"/>
              <w:bidi w:val="0"/>
              <w:spacing w:before="0" w:after="283"/>
              <w:jc w:val="left"/>
              <w:rPr/>
            </w:pPr>
            <w:r>
              <w:rPr/>
              <w:t>Payment of transaction costs related to issuance of common stock in connection with the Merger</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(8,528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Payment of costs directly attributable to the Merger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(2,061</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7872"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226</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91,806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(1,547</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69" w:type="dxa"/>
            <w:tcBorders/>
            <w:shd w:fill="CCEEFF" w:val="clear"/>
            <w:vAlign w:val="center"/>
          </w:tcPr>
          <w:p>
            <w:pPr>
              <w:pStyle w:val="TableContents"/>
              <w:bidi w:val="0"/>
              <w:spacing w:before="0" w:after="283"/>
              <w:jc w:val="right"/>
              <w:rPr/>
            </w:pPr>
            <w:r>
              <w:rPr/>
              <w:t>66,003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(14,707</w:t>
            </w:r>
          </w:p>
        </w:tc>
        <w:tc>
          <w:tcPr>
            <w:tcW w:w="116" w:type="dxa"/>
            <w:tcBorders/>
            <w:shd w:fill="CCEEFF" w:val="clear"/>
            <w:vAlign w:val="center"/>
          </w:tcPr>
          <w:p>
            <w:pPr>
              <w:pStyle w:val="TableContents"/>
              <w:bidi w:val="0"/>
              <w:spacing w:before="0" w:after="283"/>
              <w:jc w:val="left"/>
              <w:rPr/>
            </w:pPr>
            <w:r>
              <w:rPr/>
              <w:t>)</w:t>
            </w:r>
          </w:p>
        </w:tc>
      </w:tr>
      <w:tr>
        <w:trPr/>
        <w:tc>
          <w:tcPr>
            <w:tcW w:w="7872"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59,343</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FFFFFF" w:val="clear"/>
            <w:tcMar>
              <w:bottom w:w="28" w:type="dxa"/>
            </w:tcMar>
            <w:vAlign w:val="center"/>
          </w:tcPr>
          <w:p>
            <w:pPr>
              <w:pStyle w:val="TableContents"/>
              <w:bidi w:val="0"/>
              <w:spacing w:before="0" w:after="283"/>
              <w:jc w:val="right"/>
              <w:rPr/>
            </w:pPr>
            <w:r>
              <w:rPr/>
              <w:t>37,195</w:t>
            </w:r>
          </w:p>
        </w:tc>
        <w:tc>
          <w:tcPr>
            <w:tcW w:w="116" w:type="dxa"/>
            <w:tcBorders/>
            <w:shd w:fill="FFFFFF" w:val="clear"/>
            <w:vAlign w:val="center"/>
          </w:tcPr>
          <w:p>
            <w:pPr>
              <w:pStyle w:val="TableContents"/>
              <w:bidi w:val="0"/>
              <w:spacing w:before="0" w:after="283"/>
              <w:jc w:val="left"/>
              <w:rPr/>
            </w:pPr>
            <w:r>
              <w:rPr/>
              <w:t> </w:t>
            </w:r>
          </w:p>
        </w:tc>
      </w:tr>
      <w:tr>
        <w:trPr/>
        <w:tc>
          <w:tcPr>
            <w:tcW w:w="7872"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9" w:type="dxa"/>
            <w:tcBorders>
              <w:bottom w:val="double" w:sz="10" w:space="0" w:color="000000"/>
            </w:tcBorders>
            <w:shd w:fill="CCEEFF" w:val="clear"/>
            <w:tcMar>
              <w:bottom w:w="28" w:type="dxa"/>
            </w:tcMar>
            <w:vAlign w:val="center"/>
          </w:tcPr>
          <w:p>
            <w:pPr>
              <w:pStyle w:val="TableContents"/>
              <w:bidi w:val="0"/>
              <w:spacing w:before="0" w:after="283"/>
              <w:jc w:val="right"/>
              <w:rPr/>
            </w:pPr>
            <w:r>
              <w:rPr/>
              <w:t>125,346</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CCEEFF" w:val="clear"/>
            <w:tcMar>
              <w:bottom w:w="28" w:type="dxa"/>
            </w:tcMar>
            <w:vAlign w:val="center"/>
          </w:tcPr>
          <w:p>
            <w:pPr>
              <w:pStyle w:val="TableContents"/>
              <w:bidi w:val="0"/>
              <w:spacing w:before="0" w:after="283"/>
              <w:jc w:val="right"/>
              <w:rPr/>
            </w:pPr>
            <w:r>
              <w:rPr/>
              <w:t>22,488</w:t>
            </w:r>
          </w:p>
        </w:tc>
        <w:tc>
          <w:tcPr>
            <w:tcW w:w="1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918" w:type="dxa"/>
        <w:jc w:val="left"/>
        <w:tblInd w:w="0" w:type="dxa"/>
        <w:tblLayout w:type="fixed"/>
        <w:tblCellMar>
          <w:top w:w="0" w:type="dxa"/>
          <w:left w:w="0" w:type="dxa"/>
          <w:bottom w:w="0" w:type="dxa"/>
          <w:right w:w="0" w:type="dxa"/>
        </w:tblCellMar>
      </w:tblPr>
      <w:tblGrid>
        <w:gridCol w:w="6995"/>
        <w:gridCol w:w="60"/>
        <w:gridCol w:w="144"/>
        <w:gridCol w:w="802"/>
        <w:gridCol w:w="69"/>
        <w:gridCol w:w="69"/>
        <w:gridCol w:w="144"/>
        <w:gridCol w:w="560"/>
        <w:gridCol w:w="75"/>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7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 of cash flow information</w:t>
            </w:r>
          </w:p>
        </w:tc>
        <w:tc>
          <w:tcPr>
            <w:tcW w:w="60"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0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during the period for:</w:t>
            </w:r>
          </w:p>
        </w:tc>
        <w:tc>
          <w:tcPr>
            <w:tcW w:w="60" w:type="dxa"/>
            <w:tcBorders/>
            <w:vAlign w:val="center"/>
          </w:tcPr>
          <w:p>
            <w:pPr>
              <w:pStyle w:val="TableContents"/>
              <w:bidi w:val="0"/>
              <w:spacing w:before="0" w:after="283"/>
              <w:jc w:val="left"/>
              <w:rPr/>
            </w:pPr>
            <w:r>
              <w:rPr/>
              <w:t> </w:t>
            </w:r>
          </w:p>
        </w:tc>
        <w:tc>
          <w:tcPr>
            <w:tcW w:w="946"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0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obtained for deposits paid in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redeemable convertible preferred stock upon exercise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6,859</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Pre-PIPE Bridge and Pre-Funded PIPE Notes to Series A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116,931</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Series A Preferred Stock in exchange for 2024 LSA Amendment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directly attributable to the Merger paid in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2,714</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Series A Preferred Stock to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Preferred Stock dividends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1,417</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19"/>
      <w:bookmarkEnd w:id="8"/>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of the Merger (as defined below), shares of Merlin common stock began trading on Nasdaq Stock Market LLC under the symbol “MRLN.”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Business Combination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Reverse Recapitalization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and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prior period share and per share amounts presented in the unaudited condensed consolidated financial statements and these related notes have been retroactively recast in accordance with Accounting Standards Codification (“ASC”) 805,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incurred net losses in the amounts of $90,419 and $12,733, respectively, and generated negative cash flows from operations in the amounts of $23,644 and $13,081, respectively. Additionally, as of March 31, 2026, the Company has an accumulated deficit in the amount of $641,472 and cash and cash equivalents of $122,777.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Additionally, on May 1, 2026 the Company issued common stock and common stock warrants in a PIPE transaction for $80,000 in gross proceeds (refer to Note 17.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liquidity position as of May 15, 2026, the Company’s net cash proceeds and debt conversion from the Merger,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consolidated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described in the Company’s Annual Report on Form 8-K for the year ended December 31, 2025. There have been no significant changes to these policies that have had a material impact on the Company’s condensed consolidated financial statements and related notes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At March 31, 2026, all restricted cash was non-current.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cash, cash equivalents, and restricted cash at the end of each respective period as shown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7918" w:type="dxa"/>
        <w:jc w:val="left"/>
        <w:tblInd w:w="0" w:type="dxa"/>
        <w:tblLayout w:type="fixed"/>
        <w:tblCellMar>
          <w:top w:w="0" w:type="dxa"/>
          <w:left w:w="0" w:type="dxa"/>
          <w:bottom w:w="0" w:type="dxa"/>
          <w:right w:w="0" w:type="dxa"/>
        </w:tblCellMar>
      </w:tblPr>
      <w:tblGrid>
        <w:gridCol w:w="4595"/>
        <w:gridCol w:w="60"/>
        <w:gridCol w:w="159"/>
        <w:gridCol w:w="910"/>
        <w:gridCol w:w="60"/>
        <w:gridCol w:w="60"/>
        <w:gridCol w:w="341"/>
        <w:gridCol w:w="1658"/>
        <w:gridCol w:w="75"/>
      </w:tblGrid>
      <w:tr>
        <w:trPr/>
        <w:tc>
          <w:tcPr>
            <w:tcW w:w="459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122,777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w:t>
            </w:r>
          </w:p>
        </w:tc>
        <w:tc>
          <w:tcPr>
            <w:tcW w:w="1658" w:type="dxa"/>
            <w:tcBorders/>
            <w:shd w:fill="CCEEFF" w:val="clear"/>
            <w:vAlign w:val="center"/>
          </w:tcPr>
          <w:p>
            <w:pPr>
              <w:pStyle w:val="TableContents"/>
              <w:bidi w:val="0"/>
              <w:spacing w:before="0" w:after="283"/>
              <w:jc w:val="right"/>
              <w:rPr/>
            </w:pPr>
            <w:r>
              <w:rPr/>
              <w:t>59,343</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FFFFFF" w:val="clear"/>
            <w:tcMar>
              <w:bottom w:w="28" w:type="dxa"/>
            </w:tcMar>
            <w:vAlign w:val="center"/>
          </w:tcPr>
          <w:p>
            <w:pPr>
              <w:pStyle w:val="TableContents"/>
              <w:bidi w:val="0"/>
              <w:spacing w:before="0" w:after="283"/>
              <w:jc w:val="right"/>
              <w:rPr/>
            </w:pPr>
            <w:r>
              <w:rPr/>
              <w:t>2,569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125,346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58" w:type="dxa"/>
            <w:tcBorders>
              <w:bottom w:val="double" w:sz="10" w:space="0" w:color="000000"/>
            </w:tcBorders>
            <w:shd w:fill="CCEEFF" w:val="clear"/>
            <w:tcMar>
              <w:bottom w:w="28" w:type="dxa"/>
            </w:tcMar>
            <w:vAlign w:val="center"/>
          </w:tcPr>
          <w:p>
            <w:pPr>
              <w:pStyle w:val="TableContents"/>
              <w:bidi w:val="0"/>
              <w:spacing w:before="0" w:after="283"/>
              <w:jc w:val="right"/>
              <w:rPr/>
            </w:pPr>
            <w:r>
              <w:rPr/>
              <w:t>59,343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generated $1,002 and $868 in revenue, with a significant amount (&gt; 90%) of this revenue coming from the U.S. government (refer to Note 4. Revenue Recognition from Contracts with Customers for further information). As of March 31, 2026 and December 31, 2025, accounts receivable from the U.S. government totaled $1,307 and $368,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unadjusted quoted prices for identical assets or liabilities in active markets that the Company has the ability to access.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w:t>
      </w:r>
    </w:p>
    <w:p>
      <w:pPr>
        <w:pStyle w:val="TextBody"/>
        <w:bidi w:val="0"/>
        <w:spacing w:before="0" w:after="0"/>
        <w:ind w:left="36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Quoted prices for similar assets or liabilities in active markets;</w:t>
            </w:r>
          </w:p>
        </w:tc>
      </w:tr>
    </w:tbl>
    <w:p>
      <w:pPr>
        <w:pStyle w:val="TextBody"/>
        <w:bidi w:val="0"/>
        <w:spacing w:before="0" w:after="0"/>
        <w:ind w:left="360" w:right="0" w:hanging="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Quoted prices for identical or similar assets or liabilities in inactive markets;</w:t>
            </w:r>
          </w:p>
        </w:tc>
      </w:tr>
    </w:tbl>
    <w:p>
      <w:pPr>
        <w:pStyle w:val="TextBody"/>
        <w:bidi w:val="0"/>
        <w:spacing w:before="0" w:after="0"/>
        <w:ind w:left="36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Inputs other than quoted prices that are observable for the asset or liability;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Inputs that are derived principally from or corroborated by observable market data by correlation or other means.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asset or liability has a specified (contractual) term, the Level 2 input must be observable for substantially the full term of the asset or liability.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 and significant to the fair value measurement.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March 31, 2026 and December 31, 2025, the Company determined that there have been no significant events or changes in circumstances that would cause the impairment of any of the Company’s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included in ASC 480 and ASC 815. The assessment 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 or losses recognized in change in fair value of warrant liabilities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research and development agreements with third-parties where the Company is paid for research and development activities. The amounts received under these agreements are recorded as a reduction to research and development expense in the consolidated statements of operations. The Company recorded $150 and $150 as a reduction to research and development expense during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costs as incurred. During the three months ended March 31, 2026 and 2025, the Company incurred advertising expense in the amounts of $554 and $271,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transaction costs primarily consist of legal and accounting costs incurred that were direct and incremental to the Merger. During the three months ended March 31, 2026, the Company </w:t>
      </w:r>
      <w:r>
        <w:rPr>
          <w:rFonts w:ascii="Times New Roman;Times;Serif" w:hAnsi="Times New Roman;Times;Serif"/>
          <w:b w:val="false"/>
          <w:i w:val="false"/>
          <w:caps w:val="false"/>
          <w:smallCaps w:val="false"/>
          <w:sz w:val="20"/>
          <w:shd w:fill="FFFFFF" w:val="clear"/>
        </w:rPr>
        <w:t>capit</w:t>
      </w:r>
      <w:r>
        <w:rPr>
          <w:rFonts w:ascii="Times New Roman;Times;Serif" w:hAnsi="Times New Roman;Times;Serif"/>
          <w:b w:val="false"/>
          <w:i w:val="false"/>
          <w:caps w:val="false"/>
          <w:smallCaps w:val="false"/>
          <w:sz w:val="20"/>
        </w:rPr>
        <w:t xml:space="preserve">alized $2,061 </w:t>
      </w:r>
      <w:r>
        <w:rPr>
          <w:rFonts w:ascii="Times New Roman;Times;Serif" w:hAnsi="Times New Roman;Times;Serif"/>
          <w:b w:val="false"/>
          <w:i w:val="false"/>
          <w:caps w:val="false"/>
          <w:smallCaps w:val="false"/>
          <w:sz w:val="20"/>
          <w:shd w:fill="FFFFFF" w:val="clear"/>
        </w:rPr>
        <w:t xml:space="preserve">of transaction costs in </w:t>
      </w:r>
      <w:r>
        <w:rPr>
          <w:rFonts w:ascii="Times New Roman;Times;Serif" w:hAnsi="Times New Roman;Times;Serif"/>
          <w:b w:val="false"/>
          <w:i w:val="false"/>
          <w:caps w:val="false"/>
          <w:smallCaps w:val="false"/>
          <w:sz w:val="20"/>
        </w:rPr>
        <w:t>capitalized transaction costs on the condensed consolidated balance sheets. Upon the completion of the Merger, capitalized transaction costs were netted against the proceeds from the Merger and recorded as an offset to stockholders’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Stock dividends and accretion (refer to Note 11. Net Loss Per Share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equaled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Financial Accounting Standards Board ("FASB") issued Accounting Standards Update ("ASU") 2025-03, to improve consistency in determining the accounting acquirer in certain business combinations involving variable interest entities. The amendments are effective in annual periods beginning after December 15, 2026, and interim periods within those years, with early adoption permitted. The Company adopted this standard as of January 1, 2026, and utilized this new standard when analyzing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which requires the disclosure of additional information about specific expense categories in the notes to the consolidated financial statements on an annual and interim basis. The standard is effective for fiscal years beginning after December 15, 2026, and interim periods within fiscal years beginning after December 15, 2027 on either a prospective or retrospective basis, with early adoption permitted. The Company is currently evaluating the impacts of the new standard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contemplation of the Merger, the following occurred immediately prior to the Closing: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Each convertible security of Legacy Merlin (other than the Pre-PIPE Bridge Notes and Pre-Funded PIPE Notes) automatically converted into full shares of redeemable convertible preferred stock or common stock, as applicable, of Legacy Merlin;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283"/>
              <w:jc w:val="both"/>
              <w:rPr/>
            </w:pPr>
            <w:r>
              <w:rPr/>
              <w:t>Each of Legacy Merlin’s outstanding and unexercised preferred stock warrant liabilities were automatically exercised on a cashless basis or were exchanged for securities issued in the Closing PIPE, based on the applicable terms thereof (refer to Note 9. Warrants);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283"/>
              <w:jc w:val="both"/>
              <w:rPr/>
            </w:pPr>
            <w:r>
              <w:rPr/>
              <w:t>After giving effect to the conversions and exercises described at (1) and (2) above, each issued and outstanding share of Legacy Merlin’s redeemable convertible preferred stock automatically converted into shares of Legacy Merlin common stock;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(4)</w:t>
            </w:r>
          </w:p>
        </w:tc>
        <w:tc>
          <w:tcPr>
            <w:tcW w:w="9917" w:type="dxa"/>
            <w:tcBorders/>
            <w:vAlign w:val="center"/>
          </w:tcPr>
          <w:p>
            <w:pPr>
              <w:pStyle w:val="TableContents"/>
              <w:bidi w:val="0"/>
              <w:spacing w:before="0" w:after="283"/>
              <w:jc w:val="both"/>
              <w:rPr/>
            </w:pPr>
            <w:r>
              <w:rPr/>
              <w:t>Each of Legacy Merlin’s outstanding and unexercised common stock warrants (other than the Pre-PIPE Bridge Warrants and Pre-Funded PIPE Warrants) were automatically exercised on a cashless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and pursuant to the terms of the Business Combination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both"/>
              <w:rPr/>
            </w:pPr>
            <w:r>
              <w:rPr/>
              <w:t>Each share of Legacy Merlin common stock held by Legacy Merlin, Merger Sub, or the Company was canceled without consideration exchanged therefor;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283"/>
              <w:jc w:val="both"/>
              <w:rPr/>
            </w:pPr>
            <w:r>
              <w:rPr/>
              <w:t>Each other issued and outstanding share of Legacy Merlin common stock was canceled and converted into the right to receive shares of the common stock at an exchange ratio of approximately 3.102;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Each option to purchase equity securities of Legacy Merlin was converted into an option to acquire common stock at an exchange ratio of approximately 3.102;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(4)</w:t>
            </w:r>
          </w:p>
        </w:tc>
        <w:tc>
          <w:tcPr>
            <w:tcW w:w="9901" w:type="dxa"/>
            <w:tcBorders/>
            <w:vAlign w:val="center"/>
          </w:tcPr>
          <w:p>
            <w:pPr>
              <w:pStyle w:val="TableContents"/>
              <w:bidi w:val="0"/>
              <w:spacing w:before="0" w:after="283"/>
              <w:jc w:val="both"/>
              <w:rPr/>
            </w:pPr>
            <w:r>
              <w:rPr/>
              <w:t>Each Pre-PIPE Bridge Note and Pre-Funded PIPE Note was converted into shares of Series A Preferred Stock, par value $0.0001 per share;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5"/>
        <w:gridCol w:w="9861"/>
      </w:tblGrid>
      <w:tr>
        <w:trPr/>
        <w:tc>
          <w:tcPr>
            <w:tcW w:w="3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(5)</w:t>
            </w:r>
          </w:p>
        </w:tc>
        <w:tc>
          <w:tcPr>
            <w:tcW w:w="9861" w:type="dxa"/>
            <w:tcBorders/>
            <w:vAlign w:val="center"/>
          </w:tcPr>
          <w:p>
            <w:pPr>
              <w:pStyle w:val="TableContents"/>
              <w:bidi w:val="0"/>
              <w:spacing w:before="0" w:after="283"/>
              <w:jc w:val="both"/>
              <w:rPr/>
            </w:pPr>
            <w:r>
              <w:rPr/>
              <w:t>Each Pre-PIPE Bridge Warrant and Pre-Funded PIPE Warrant was converted into a PIPE Warrant.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net proceeds from the Merger:</w:t>
      </w:r>
    </w:p>
    <w:p>
      <w:pPr>
        <w:pStyle w:val="TextBody"/>
        <w:bidi w:val="0"/>
        <w:spacing w:before="0" w:after="0"/>
        <w:ind w:left="0" w:right="0" w:hanging="0"/>
        <w:jc w:val="both"/>
        <w:rPr>
          <w:caps w:val="false"/>
          <w:smallCaps w:val="false"/>
        </w:rPr>
      </w:pPr>
      <w:r>
        <w:rPr>
          <w:caps w:val="false"/>
          <w:smallCaps w:val="false"/>
        </w:rPr>
        <w:t> </w:t>
      </w:r>
    </w:p>
    <w:tbl>
      <w:tblPr>
        <w:tblW w:w="5955" w:type="dxa"/>
        <w:jc w:val="left"/>
        <w:tblInd w:w="0" w:type="dxa"/>
        <w:tblLayout w:type="fixed"/>
        <w:tblCellMar>
          <w:top w:w="0" w:type="dxa"/>
          <w:left w:w="0" w:type="dxa"/>
          <w:bottom w:w="28" w:type="dxa"/>
          <w:right w:w="0" w:type="dxa"/>
        </w:tblCellMar>
      </w:tblPr>
      <w:tblGrid>
        <w:gridCol w:w="4880"/>
        <w:gridCol w:w="60"/>
        <w:gridCol w:w="140"/>
        <w:gridCol w:w="800"/>
        <w:gridCol w:w="75"/>
      </w:tblGrid>
      <w:tr>
        <w:trPr/>
        <w:tc>
          <w:tcPr>
            <w:tcW w:w="4880" w:type="dxa"/>
            <w:tcBorders>
              <w:bottom w:val="single" w:sz="12" w:space="0" w:color="000000"/>
            </w:tcBorders>
            <w:vAlign w:val="center"/>
          </w:tcPr>
          <w:p>
            <w:pPr>
              <w:pStyle w:val="TableContents"/>
              <w:bidi w:val="0"/>
              <w:spacing w:before="0" w:after="283"/>
              <w:jc w:val="left"/>
              <w:rPr>
                <w:b/>
              </w:rPr>
            </w:pPr>
            <w:r>
              <w:rPr>
                <w:b/>
              </w:rPr>
              <w:t>Sources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Cash - Inflection Point trust account, net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Cash - Inflection Point operating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426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    </w:t>
            </w:r>
            <w:r>
              <w:rPr/>
              <w:t>Total cash from Inflection Point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3,070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pPr>
            <w:r>
              <w:rPr/>
              <w:t>Cash - Closing PIPE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120,000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pPr>
            <w:r>
              <w:rPr/>
              <w:t>Total cash in Inflection Point going into the Merger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800" w:type="dxa"/>
            <w:tcBorders>
              <w:bottom w:val="double" w:sz="10" w:space="0" w:color="000000"/>
            </w:tcBorders>
            <w:shd w:fill="CCEEFF" w:val="clear"/>
            <w:vAlign w:val="center"/>
          </w:tcPr>
          <w:p>
            <w:pPr>
              <w:pStyle w:val="TableContents"/>
              <w:bidi w:val="0"/>
              <w:spacing w:before="0" w:after="283"/>
              <w:jc w:val="right"/>
              <w:rPr/>
            </w:pPr>
            <w:r>
              <w:rPr/>
              <w:t>123,070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283"/>
              <w:jc w:val="both"/>
              <w:rPr/>
            </w:pPr>
            <w:r>
              <w:rPr/>
              <w:t>Amount reflects gross proceeds of $25,864 from the Inflection Point trust account less the payment of transaction costs of $(23,220) utilizing the proceeds released from the Inflection Point trust account.</w:t>
            </w:r>
          </w:p>
        </w:tc>
      </w:tr>
    </w:tbl>
    <w:p>
      <w:pPr>
        <w:pStyle w:val="TextBody"/>
        <w:bidi w:val="0"/>
        <w:spacing w:before="0" w:after="0"/>
        <w:ind w:left="0" w:right="0" w:hanging="0"/>
        <w:jc w:val="both"/>
        <w:rPr>
          <w:caps w:val="false"/>
          <w:smallCaps w:val="false"/>
        </w:rPr>
      </w:pPr>
      <w:r>
        <w:rPr>
          <w:caps w:val="false"/>
          <w:smallCaps w:val="false"/>
        </w:rPr>
        <w:t> </w:t>
      </w:r>
    </w:p>
    <w:tbl>
      <w:tblPr>
        <w:tblW w:w="5360" w:type="dxa"/>
        <w:jc w:val="left"/>
        <w:tblInd w:w="0" w:type="dxa"/>
        <w:tblLayout w:type="fixed"/>
        <w:tblCellMar>
          <w:top w:w="0" w:type="dxa"/>
          <w:left w:w="0" w:type="dxa"/>
          <w:bottom w:w="28" w:type="dxa"/>
          <w:right w:w="0" w:type="dxa"/>
        </w:tblCellMar>
      </w:tblPr>
      <w:tblGrid>
        <w:gridCol w:w="4295"/>
        <w:gridCol w:w="60"/>
        <w:gridCol w:w="140"/>
        <w:gridCol w:w="755"/>
        <w:gridCol w:w="110"/>
      </w:tblGrid>
      <w:tr>
        <w:trPr/>
        <w:tc>
          <w:tcPr>
            <w:tcW w:w="4295" w:type="dxa"/>
            <w:tcBorders>
              <w:bottom w:val="single" w:sz="12" w:space="0" w:color="000000"/>
            </w:tcBorders>
            <w:vAlign w:val="center"/>
          </w:tcPr>
          <w:p>
            <w:pPr>
              <w:pStyle w:val="TableContents"/>
              <w:bidi w:val="0"/>
              <w:spacing w:before="0" w:after="283"/>
              <w:jc w:val="left"/>
              <w:rPr>
                <w:b/>
              </w:rPr>
            </w:pPr>
            <w:r>
              <w:rPr>
                <w:b/>
              </w:rPr>
              <w:t>Uses</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295" w:type="dxa"/>
            <w:tcBorders/>
            <w:shd w:fill="CCEEFF" w:val="clear"/>
            <w:tcMar>
              <w:bottom w:w="0" w:type="dxa"/>
            </w:tcMar>
            <w:vAlign w:val="center"/>
          </w:tcPr>
          <w:p>
            <w:pPr>
              <w:pStyle w:val="TableContents"/>
              <w:bidi w:val="0"/>
              <w:spacing w:before="0" w:after="283"/>
              <w:jc w:val="left"/>
              <w:rPr/>
            </w:pPr>
            <w:r>
              <w:rPr/>
              <w:t>Prepayment of 2024 LSA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755" w:type="dxa"/>
            <w:tcBorders>
              <w:bottom w:val="single" w:sz="12" w:space="0" w:color="000000"/>
            </w:tcBorders>
            <w:shd w:fill="CCEEFF" w:val="clear"/>
            <w:vAlign w:val="center"/>
          </w:tcPr>
          <w:p>
            <w:pPr>
              <w:pStyle w:val="TableContents"/>
              <w:bidi w:val="0"/>
              <w:spacing w:before="0" w:after="283"/>
              <w:jc w:val="right"/>
              <w:rPr/>
            </w:pPr>
            <w:r>
              <w:rPr/>
              <w:t>(28,334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295" w:type="dxa"/>
            <w:tcBorders/>
            <w:shd w:fill="FFFFFF" w:val="clear"/>
            <w:tcMar>
              <w:bottom w:w="0" w:type="dxa"/>
            </w:tcMar>
            <w:vAlign w:val="center"/>
          </w:tcPr>
          <w:p>
            <w:pPr>
              <w:pStyle w:val="TableContents"/>
              <w:bidi w:val="0"/>
              <w:spacing w:before="0" w:after="283"/>
              <w:jc w:val="left"/>
              <w:rPr/>
            </w:pPr>
            <w:r>
              <w:rPr/>
              <w:t>Total cash used immediately after the Merger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755" w:type="dxa"/>
            <w:tcBorders>
              <w:bottom w:val="double" w:sz="10" w:space="0" w:color="000000"/>
            </w:tcBorders>
            <w:shd w:fill="FFFFFF" w:val="clear"/>
            <w:vAlign w:val="center"/>
          </w:tcPr>
          <w:p>
            <w:pPr>
              <w:pStyle w:val="TableContents"/>
              <w:bidi w:val="0"/>
              <w:spacing w:before="0" w:after="283"/>
              <w:jc w:val="right"/>
              <w:rPr/>
            </w:pPr>
            <w:r>
              <w:rPr/>
              <w:t>(28,334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2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95" w:type="dxa"/>
            <w:tcBorders/>
            <w:shd w:fill="FFFFFF" w:val="clear"/>
            <w:tcMar>
              <w:bottom w:w="0" w:type="dxa"/>
            </w:tcMar>
            <w:vAlign w:val="center"/>
          </w:tcPr>
          <w:p>
            <w:pPr>
              <w:pStyle w:val="TableContents"/>
              <w:bidi w:val="0"/>
              <w:spacing w:before="0" w:after="283"/>
              <w:jc w:val="left"/>
              <w:rPr/>
            </w:pPr>
            <w:r>
              <w:rPr/>
              <w:t>Net cash to Merlin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94,736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The following table summarizes the impact of the Merger on the Company's common stock:</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88"/>
        <w:gridCol w:w="60"/>
        <w:gridCol w:w="60"/>
        <w:gridCol w:w="1100"/>
        <w:gridCol w:w="60"/>
        <w:gridCol w:w="60"/>
        <w:gridCol w:w="301"/>
        <w:gridCol w:w="559"/>
        <w:gridCol w:w="60"/>
        <w:gridCol w:w="60"/>
        <w:gridCol w:w="163"/>
        <w:gridCol w:w="937"/>
        <w:gridCol w:w="97"/>
      </w:tblGrid>
      <w:tr>
        <w:trPr/>
        <w:tc>
          <w:tcPr>
            <w:tcW w:w="6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6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Additional</w:t>
              <w:br/>
              <w:t>Paid-In</w:t>
              <w:br/>
              <w:t>Capital</w:t>
            </w:r>
          </w:p>
        </w:tc>
        <w:tc>
          <w:tcPr>
            <w:tcW w:w="97" w:type="dxa"/>
            <w:tcBorders/>
            <w:vAlign w:val="center"/>
          </w:tcPr>
          <w:p>
            <w:pPr>
              <w:pStyle w:val="TableContents"/>
              <w:bidi w:val="0"/>
              <w:spacing w:before="0" w:after="283"/>
              <w:jc w:val="left"/>
              <w:rPr/>
            </w:pPr>
            <w:r>
              <w:rPr/>
              <w:t> </w:t>
            </w:r>
          </w:p>
        </w:tc>
      </w:tr>
      <w:tr>
        <w:trPr/>
        <w:tc>
          <w:tcPr>
            <w:tcW w:w="6688" w:type="dxa"/>
            <w:tcBorders/>
            <w:shd w:fill="CCEEFF" w:val="clear"/>
            <w:vAlign w:val="center"/>
          </w:tcPr>
          <w:p>
            <w:pPr>
              <w:pStyle w:val="TableContents"/>
              <w:bidi w:val="0"/>
              <w:spacing w:before="0" w:after="283"/>
              <w:jc w:val="left"/>
              <w:rPr>
                <w:b/>
              </w:rPr>
            </w:pPr>
            <w:r>
              <w:rPr>
                <w:b/>
              </w:rPr>
              <w:t>Balances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5,306,250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15,491</w:t>
            </w:r>
          </w:p>
        </w:tc>
        <w:tc>
          <w:tcPr>
            <w:tcW w:w="97" w:type="dxa"/>
            <w:tcBorders/>
            <w:shd w:fill="CCEEFF" w:val="clear"/>
            <w:vAlign w:val="center"/>
          </w:tcPr>
          <w:p>
            <w:pPr>
              <w:pStyle w:val="TableContents"/>
              <w:bidi w:val="0"/>
              <w:spacing w:before="0" w:after="283"/>
              <w:jc w:val="left"/>
              <w:rPr/>
            </w:pPr>
            <w:r>
              <w:rPr/>
              <w:t> </w:t>
            </w:r>
          </w:p>
        </w:tc>
      </w:tr>
      <w:tr>
        <w:trPr/>
        <w:tc>
          <w:tcPr>
            <w:tcW w:w="6688" w:type="dxa"/>
            <w:tcBorders/>
            <w:shd w:fill="FFFFFF" w:val="clear"/>
            <w:vAlign w:val="center"/>
          </w:tcPr>
          <w:p>
            <w:pPr>
              <w:pStyle w:val="TableContents"/>
              <w:bidi w:val="0"/>
              <w:spacing w:before="0" w:after="283"/>
              <w:jc w:val="left"/>
              <w:rPr/>
            </w:pPr>
            <w:r>
              <w:rPr/>
              <w:t>Exercise of stock options prior to the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131,028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226</w:t>
            </w:r>
          </w:p>
        </w:tc>
        <w:tc>
          <w:tcPr>
            <w:tcW w:w="97" w:type="dxa"/>
            <w:tcBorders/>
            <w:shd w:fill="FFFFFF" w:val="clear"/>
            <w:vAlign w:val="center"/>
          </w:tcPr>
          <w:p>
            <w:pPr>
              <w:pStyle w:val="TableContents"/>
              <w:bidi w:val="0"/>
              <w:spacing w:before="0" w:after="283"/>
              <w:jc w:val="left"/>
              <w:rPr/>
            </w:pPr>
            <w:r>
              <w:rPr/>
              <w:t> </w:t>
            </w:r>
          </w:p>
        </w:tc>
      </w:tr>
      <w:tr>
        <w:trPr/>
        <w:tc>
          <w:tcPr>
            <w:tcW w:w="6688" w:type="dxa"/>
            <w:tcBorders/>
            <w:shd w:fill="CCEEFF" w:val="clear"/>
            <w:vAlign w:val="center"/>
          </w:tcPr>
          <w:p>
            <w:pPr>
              <w:pStyle w:val="TableContents"/>
              <w:bidi w:val="0"/>
              <w:spacing w:before="0" w:after="283"/>
              <w:jc w:val="left"/>
              <w:rPr/>
            </w:pPr>
            <w:r>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6688" w:type="dxa"/>
            <w:tcBorders/>
            <w:shd w:fill="FFFFFF" w:val="clear"/>
            <w:vAlign w:val="center"/>
          </w:tcPr>
          <w:p>
            <w:pPr>
              <w:pStyle w:val="TableContents"/>
              <w:bidi w:val="0"/>
              <w:spacing w:before="0" w:after="283"/>
              <w:jc w:val="left"/>
              <w:rPr/>
            </w:pPr>
            <w:r>
              <w:rPr/>
              <w:t>Issuance of redeemable convertible preferred stock upon 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226,113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6,859</w:t>
            </w:r>
          </w:p>
        </w:tc>
        <w:tc>
          <w:tcPr>
            <w:tcW w:w="97" w:type="dxa"/>
            <w:tcBorders/>
            <w:shd w:fill="FFFFFF" w:val="clear"/>
            <w:vAlign w:val="center"/>
          </w:tcPr>
          <w:p>
            <w:pPr>
              <w:pStyle w:val="TableContents"/>
              <w:bidi w:val="0"/>
              <w:spacing w:before="0" w:after="283"/>
              <w:jc w:val="left"/>
              <w:rPr/>
            </w:pPr>
            <w:r>
              <w:rPr/>
              <w:t> </w:t>
            </w:r>
          </w:p>
        </w:tc>
      </w:tr>
      <w:tr>
        <w:trPr/>
        <w:tc>
          <w:tcPr>
            <w:tcW w:w="6688" w:type="dxa"/>
            <w:tcBorders/>
            <w:shd w:fill="CCEEFF" w:val="clear"/>
            <w:vAlign w:val="center"/>
          </w:tcPr>
          <w:p>
            <w:pPr>
              <w:pStyle w:val="TableContents"/>
              <w:bidi w:val="0"/>
              <w:spacing w:before="0" w:after="283"/>
              <w:jc w:val="left"/>
              <w:rPr/>
            </w:pPr>
            <w:r>
              <w:rPr/>
              <w:t>Conversion of redeemable convertible preferred stock 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17,154,902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461,962</w:t>
            </w:r>
          </w:p>
        </w:tc>
        <w:tc>
          <w:tcPr>
            <w:tcW w:w="97" w:type="dxa"/>
            <w:tcBorders/>
            <w:shd w:fill="CCEEFF" w:val="clear"/>
            <w:vAlign w:val="center"/>
          </w:tcPr>
          <w:p>
            <w:pPr>
              <w:pStyle w:val="TableContents"/>
              <w:bidi w:val="0"/>
              <w:spacing w:before="0" w:after="283"/>
              <w:jc w:val="left"/>
              <w:rPr/>
            </w:pPr>
            <w:r>
              <w:rPr/>
              <w:t> </w:t>
            </w:r>
          </w:p>
        </w:tc>
      </w:tr>
      <w:tr>
        <w:trPr/>
        <w:tc>
          <w:tcPr>
            <w:tcW w:w="6688" w:type="dxa"/>
            <w:tcBorders/>
            <w:shd w:fill="FFFFFF" w:val="clear"/>
            <w:vAlign w:val="center"/>
          </w:tcPr>
          <w:p>
            <w:pPr>
              <w:pStyle w:val="TableContents"/>
              <w:bidi w:val="0"/>
              <w:spacing w:before="0" w:after="283"/>
              <w:jc w:val="left"/>
              <w:rPr>
                <w:b/>
              </w:rPr>
            </w:pPr>
            <w:r>
              <w:rPr>
                <w:b/>
              </w:rPr>
              <w:t>Balances immediately prior to the Merger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22,824,620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jc w:val="right"/>
              <w:rPr/>
            </w:pPr>
            <w:r>
              <w:rPr/>
              <w:t>484,538</w:t>
            </w:r>
          </w:p>
        </w:tc>
        <w:tc>
          <w:tcPr>
            <w:tcW w:w="97" w:type="dxa"/>
            <w:tcBorders/>
            <w:shd w:fill="FFFFFF" w:val="clear"/>
            <w:vAlign w:val="center"/>
          </w:tcPr>
          <w:p>
            <w:pPr>
              <w:pStyle w:val="TableContents"/>
              <w:bidi w:val="0"/>
              <w:spacing w:before="0" w:after="283"/>
              <w:jc w:val="left"/>
              <w:rPr/>
            </w:pPr>
            <w:r>
              <w:rPr/>
              <w:t> </w:t>
            </w:r>
          </w:p>
        </w:tc>
      </w:tr>
      <w:tr>
        <w:trPr/>
        <w:tc>
          <w:tcPr>
            <w:tcW w:w="6688" w:type="dxa"/>
            <w:tcBorders/>
            <w:shd w:fill="CCEEFF" w:val="clear"/>
            <w:vAlign w:val="center"/>
          </w:tcPr>
          <w:p>
            <w:pPr>
              <w:pStyle w:val="TableContents"/>
              <w:bidi w:val="0"/>
              <w:spacing w:before="0" w:after="283"/>
              <w:jc w:val="left"/>
              <w:rPr/>
            </w:pPr>
            <w:r>
              <w:rPr/>
              <w:t>Application of the exchange ratio to Legacy Merlin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47,966,076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w:t>
            </w:r>
          </w:p>
        </w:tc>
        <w:tc>
          <w:tcPr>
            <w:tcW w:w="97" w:type="dxa"/>
            <w:tcBorders/>
            <w:shd w:fill="CCEEFF" w:val="clear"/>
            <w:vAlign w:val="center"/>
          </w:tcPr>
          <w:p>
            <w:pPr>
              <w:pStyle w:val="TableContents"/>
              <w:bidi w:val="0"/>
              <w:spacing w:before="0" w:after="283"/>
              <w:ind w:left="0" w:right="0" w:hanging="180"/>
              <w:jc w:val="left"/>
              <w:rPr/>
            </w:pPr>
            <w:r>
              <w:rPr/>
              <w:t>)</w:t>
            </w:r>
          </w:p>
        </w:tc>
      </w:tr>
      <w:tr>
        <w:trPr/>
        <w:tc>
          <w:tcPr>
            <w:tcW w:w="6688" w:type="dxa"/>
            <w:tcBorders/>
            <w:shd w:fill="FFFFFF" w:val="clear"/>
            <w:vAlign w:val="center"/>
          </w:tcPr>
          <w:p>
            <w:pPr>
              <w:pStyle w:val="TableContents"/>
              <w:bidi w:val="0"/>
              <w:spacing w:before="0" w:after="283"/>
              <w:jc w:val="left"/>
              <w:rPr/>
            </w:pPr>
            <w:r>
              <w:rPr/>
              <w:t>Issuance of common stock in connection with the Merger to Inflection Point stockholders and rightsholders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13,750,282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17,265</w:t>
            </w:r>
          </w:p>
        </w:tc>
        <w:tc>
          <w:tcPr>
            <w:tcW w:w="97" w:type="dxa"/>
            <w:tcBorders/>
            <w:shd w:fill="FFFFFF" w:val="clear"/>
            <w:vAlign w:val="center"/>
          </w:tcPr>
          <w:p>
            <w:pPr>
              <w:pStyle w:val="TableContents"/>
              <w:bidi w:val="0"/>
              <w:spacing w:before="0" w:after="283"/>
              <w:jc w:val="left"/>
              <w:rPr/>
            </w:pPr>
            <w:r>
              <w:rPr/>
              <w:t> </w:t>
            </w:r>
          </w:p>
        </w:tc>
      </w:tr>
      <w:tr>
        <w:trPr/>
        <w:tc>
          <w:tcPr>
            <w:tcW w:w="6688" w:type="dxa"/>
            <w:tcBorders/>
            <w:shd w:fill="CCEEFF" w:val="clear"/>
            <w:vAlign w:val="center"/>
          </w:tcPr>
          <w:p>
            <w:pPr>
              <w:pStyle w:val="TableContents"/>
              <w:bidi w:val="0"/>
              <w:spacing w:before="0" w:after="283"/>
              <w:jc w:val="left"/>
              <w:rPr>
                <w:b/>
              </w:rPr>
            </w:pPr>
            <w:r>
              <w:rPr>
                <w:b/>
              </w:rPr>
              <w:t>Balances immediately after the Merger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84,540,978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501,798</w:t>
            </w:r>
          </w:p>
        </w:tc>
        <w:tc>
          <w:tcPr>
            <w:tcW w:w="97"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revenues by customer-type. These categories represent how the nature, timing and uncertainty of revenues and cash flows are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Disaggregated revenues by customer-type were as follows:</w:t>
      </w:r>
    </w:p>
    <w:p>
      <w:pPr>
        <w:pStyle w:val="TextBody"/>
        <w:bidi w:val="0"/>
        <w:spacing w:before="0" w:after="0"/>
        <w:ind w:left="0" w:right="0" w:hanging="0"/>
        <w:jc w:val="both"/>
        <w:rPr>
          <w:caps w:val="false"/>
          <w:smallCaps w:val="false"/>
        </w:rPr>
      </w:pPr>
      <w:r>
        <w:rPr>
          <w:caps w:val="false"/>
          <w:smallCaps w:val="false"/>
        </w:rPr>
        <w:t> </w:t>
      </w:r>
    </w:p>
    <w:tbl>
      <w:tblPr>
        <w:tblW w:w="7055" w:type="dxa"/>
        <w:jc w:val="left"/>
        <w:tblInd w:w="0" w:type="dxa"/>
        <w:tblLayout w:type="fixed"/>
        <w:tblCellMar>
          <w:top w:w="0" w:type="dxa"/>
          <w:left w:w="0" w:type="dxa"/>
          <w:bottom w:w="0" w:type="dxa"/>
          <w:right w:w="0" w:type="dxa"/>
        </w:tblCellMar>
      </w:tblPr>
      <w:tblGrid>
        <w:gridCol w:w="4715"/>
        <w:gridCol w:w="60"/>
        <w:gridCol w:w="230"/>
        <w:gridCol w:w="923"/>
        <w:gridCol w:w="98"/>
        <w:gridCol w:w="98"/>
        <w:gridCol w:w="230"/>
        <w:gridCol w:w="626"/>
        <w:gridCol w:w="7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U.S. government agencies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950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837</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Commercial and non-U.S. government customers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1,002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pPr>
            <w:r>
              <w:rPr/>
              <w:t>868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New Zealand during the three months ended March 31, 2026 and 2025 amounted to $52 and $31,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revenue recognized during the three months ended March 31, 2026 and 2025 was related to performance obligations satisfied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aggregate amount of the transaction price allocated to the remaining performance obligations was $1,124,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contract balances:</w:t>
      </w:r>
    </w:p>
    <w:p>
      <w:pPr>
        <w:pStyle w:val="TextBody"/>
        <w:bidi w:val="0"/>
        <w:spacing w:before="0" w:after="0"/>
        <w:ind w:left="0" w:right="0" w:hanging="0"/>
        <w:jc w:val="both"/>
        <w:rPr>
          <w:caps w:val="false"/>
          <w:smallCaps w:val="false"/>
        </w:rPr>
      </w:pPr>
      <w:r>
        <w:rPr>
          <w:caps w:val="false"/>
          <w:smallCaps w:val="false"/>
        </w:rPr>
        <w:t> </w:t>
      </w:r>
    </w:p>
    <w:tbl>
      <w:tblPr>
        <w:tblW w:w="7175" w:type="dxa"/>
        <w:jc w:val="left"/>
        <w:tblInd w:w="0" w:type="dxa"/>
        <w:tblLayout w:type="fixed"/>
        <w:tblCellMar>
          <w:top w:w="0" w:type="dxa"/>
          <w:left w:w="0" w:type="dxa"/>
          <w:bottom w:w="0" w:type="dxa"/>
          <w:right w:w="0" w:type="dxa"/>
        </w:tblCellMar>
      </w:tblPr>
      <w:tblGrid>
        <w:gridCol w:w="2360"/>
        <w:gridCol w:w="60"/>
        <w:gridCol w:w="322"/>
        <w:gridCol w:w="1288"/>
        <w:gridCol w:w="60"/>
        <w:gridCol w:w="60"/>
        <w:gridCol w:w="283"/>
        <w:gridCol w:w="1132"/>
        <w:gridCol w:w="60"/>
        <w:gridCol w:w="60"/>
        <w:gridCol w:w="283"/>
        <w:gridCol w:w="1132"/>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jc w:val="center"/>
              <w:rPr>
                <w:b/>
              </w:rPr>
            </w:pPr>
            <w:r>
              <w:rPr>
                <w:b/>
              </w:rPr>
              <w:t>December 31,</w:t>
            </w:r>
          </w:p>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1,342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536</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1,570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112</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Contract loss provision</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jc w:val="right"/>
              <w:rPr/>
            </w:pPr>
            <w:r>
              <w:rPr/>
              <w:t>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4,173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w:t>
            </w:r>
          </w:p>
        </w:tc>
        <w:tc>
          <w:tcPr>
            <w:tcW w:w="1132" w:type="dxa"/>
            <w:tcBorders/>
            <w:shd w:fill="FFFFFF" w:val="clear"/>
            <w:vAlign w:val="center"/>
          </w:tcPr>
          <w:p>
            <w:pPr>
              <w:pStyle w:val="TableContents"/>
              <w:bidi w:val="0"/>
              <w:spacing w:before="0" w:after="283"/>
              <w:jc w:val="right"/>
              <w:rPr/>
            </w:pPr>
            <w:r>
              <w:rPr/>
              <w:t>5,166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revenue recognized during the three months ended March 31, 2026 from amounts included in deferred revenue at the beginning of the period. Revenue recognized during the three months ended March 31, 2025 from amounts included in deferred revenue at the beginning of the period was $112. The decrease in unbilled receivables from December 31, 2025 to March 31, 2026 represents revenue that was previously earned and recognized but was not invoiced until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revised the estimate of total costs to be incurred to deliver the </w:t>
      </w:r>
      <w:r>
        <w:rPr>
          <w:rFonts w:ascii="Times New Roman;Times;Serif" w:hAnsi="Times New Roman;Times;Serif"/>
          <w:b w:val="false"/>
          <w:i w:val="false"/>
          <w:caps w:val="false"/>
          <w:smallCaps w:val="false"/>
          <w:sz w:val="20"/>
          <w:shd w:fill="FFFFFF" w:val="clear"/>
        </w:rPr>
        <w:t>United States</w:t>
      </w:r>
      <w:r>
        <w:rPr>
          <w:rFonts w:ascii="Times New Roman;Times;Serif" w:hAnsi="Times New Roman;Times;Serif"/>
          <w:b w:val="false"/>
          <w:i w:val="false"/>
          <w:caps w:val="false"/>
          <w:smallCaps w:val="false"/>
          <w:sz w:val="20"/>
        </w:rPr>
        <w:t xml:space="preserve"> Air Force Special Operations Command contract. The Company reduced the remaining contract loss provision liability to $738 on the condensed consolidated balance sheet as of March 31, 2026 and recognized a favorable adjustment to the contract loss provision of $2,451 on the consolidated statement of operations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amortized $984 and $672 during the three months ended March 31, 2026 and 2025, respectively, of the previously recognized contract loss provision as a reduction to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allowance for credit losses is immaterial to the unaudited condensed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measured at fair value on a recurring basis and indicates the fair value hierarchy of the valuation as follows:</w:t>
      </w:r>
    </w:p>
    <w:p>
      <w:pPr>
        <w:pStyle w:val="TextBody"/>
        <w:bidi w:val="0"/>
        <w:spacing w:before="0" w:after="0"/>
        <w:ind w:left="0" w:right="0" w:hanging="0"/>
        <w:jc w:val="both"/>
        <w:rPr>
          <w:caps w:val="false"/>
          <w:smallCaps w:val="false"/>
        </w:rPr>
      </w:pPr>
      <w:r>
        <w:rPr>
          <w:caps w:val="false"/>
          <w:smallCaps w:val="false"/>
        </w:rPr>
        <w:t> </w:t>
      </w:r>
    </w:p>
    <w:tbl>
      <w:tblPr>
        <w:tblW w:w="6654" w:type="dxa"/>
        <w:jc w:val="left"/>
        <w:tblInd w:w="0" w:type="dxa"/>
        <w:tblLayout w:type="fixed"/>
        <w:tblCellMar>
          <w:top w:w="0" w:type="dxa"/>
          <w:left w:w="0" w:type="dxa"/>
          <w:bottom w:w="0" w:type="dxa"/>
          <w:right w:w="0" w:type="dxa"/>
        </w:tblCellMar>
      </w:tblPr>
      <w:tblGrid>
        <w:gridCol w:w="2705"/>
        <w:gridCol w:w="60"/>
        <w:gridCol w:w="140"/>
        <w:gridCol w:w="800"/>
        <w:gridCol w:w="60"/>
        <w:gridCol w:w="60"/>
        <w:gridCol w:w="263"/>
        <w:gridCol w:w="491"/>
        <w:gridCol w:w="60"/>
        <w:gridCol w:w="60"/>
        <w:gridCol w:w="140"/>
        <w:gridCol w:w="680"/>
        <w:gridCol w:w="60"/>
        <w:gridCol w:w="60"/>
        <w:gridCol w:w="140"/>
        <w:gridCol w:w="800"/>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March 31, 2026</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121,417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121,417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121,417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121,417</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87,803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87,803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87,803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center"/>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3635"/>
        <w:gridCol w:w="60"/>
        <w:gridCol w:w="140"/>
        <w:gridCol w:w="680"/>
        <w:gridCol w:w="60"/>
        <w:gridCol w:w="60"/>
        <w:gridCol w:w="263"/>
        <w:gridCol w:w="491"/>
        <w:gridCol w:w="60"/>
        <w:gridCol w:w="60"/>
        <w:gridCol w:w="140"/>
        <w:gridCol w:w="800"/>
        <w:gridCol w:w="60"/>
        <w:gridCol w:w="60"/>
        <w:gridCol w:w="140"/>
        <w:gridCol w:w="80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Cash equivalents: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Money market mutual funds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56,695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56,695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56,695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56,695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2024 LSA Loans,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19,175</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Convertible promissory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29,107</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2024 LSA Loans, 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12,207</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76,766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76,766</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137,255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137,255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for cash equivalents are based on quoted market prices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scenarios, the fair value of the 2024 LSA Amendment Warrants were estimated using a discounted cash flow method, calculating the present value of future cash flows based on the contractual terms thereof at the calibrated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are calculated as the average present value of all future modeled payoff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warrant liabilities and convertible promissory notes as of December 31, 2025:</w:t>
      </w:r>
    </w:p>
    <w:p>
      <w:pPr>
        <w:pStyle w:val="TextBody"/>
        <w:bidi w:val="0"/>
        <w:spacing w:before="0" w:after="0"/>
        <w:ind w:left="0" w:right="0" w:hanging="0"/>
        <w:jc w:val="both"/>
        <w:rPr>
          <w:caps w:val="false"/>
          <w:smallCaps w:val="false"/>
        </w:rPr>
      </w:pPr>
      <w:r>
        <w:rPr>
          <w:caps w:val="false"/>
          <w:smallCaps w:val="false"/>
        </w:rPr>
        <w:t> </w:t>
      </w:r>
    </w:p>
    <w:tbl>
      <w:tblPr>
        <w:tblW w:w="6614" w:type="dxa"/>
        <w:jc w:val="left"/>
        <w:tblInd w:w="0" w:type="dxa"/>
        <w:tblLayout w:type="fixed"/>
        <w:tblCellMar>
          <w:top w:w="0" w:type="dxa"/>
          <w:left w:w="0" w:type="dxa"/>
          <w:bottom w:w="0" w:type="dxa"/>
          <w:right w:w="0" w:type="dxa"/>
        </w:tblCellMar>
      </w:tblPr>
      <w:tblGrid>
        <w:gridCol w:w="4850"/>
        <w:gridCol w:w="60"/>
        <w:gridCol w:w="218"/>
        <w:gridCol w:w="1256"/>
        <w:gridCol w:w="230"/>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23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Equity value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647,000</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Non-Merger scenario - Expected financing amount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150,000</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Expected financing date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sz w:val="20"/>
              </w:rPr>
            </w:pPr>
            <w:r>
              <w:rPr>
                <w:sz w:val="20"/>
              </w:rPr>
              <w:t>6/30/2026</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Non-Merger scenario - Expected liquidity event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sz w:val="20"/>
              </w:rPr>
            </w:pPr>
            <w:r>
              <w:rPr>
                <w:sz w:val="20"/>
              </w:rPr>
              <w:t>9/30/2028</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Non-Merger scenario - Equity volatility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sz w:val="20"/>
              </w:rPr>
            </w:pPr>
            <w:r>
              <w:rPr>
                <w:sz w:val="20"/>
              </w:rPr>
              <w:t>60.0%-75.0</w:t>
            </w:r>
          </w:p>
        </w:tc>
        <w:tc>
          <w:tcPr>
            <w:tcW w:w="23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Merger scenario - Expected Merger date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sz w:val="20"/>
              </w:rPr>
            </w:pPr>
            <w:r>
              <w:rPr>
                <w:sz w:val="20"/>
              </w:rPr>
              <w:t>3/31/2026</w:t>
            </w:r>
          </w:p>
        </w:tc>
        <w:tc>
          <w:tcPr>
            <w:tcW w:w="23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Merger scenario - Stock price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10.72</w:t>
            </w:r>
          </w:p>
        </w:tc>
        <w:tc>
          <w:tcPr>
            <w:tcW w:w="23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Merger scenario - Equity volatility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70.0</w:t>
            </w:r>
          </w:p>
        </w:tc>
        <w:tc>
          <w:tcPr>
            <w:tcW w:w="230" w:type="dxa"/>
            <w:tcBorders/>
            <w:shd w:fill="FFFFFF" w:val="clear"/>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283"/>
              <w:jc w:val="left"/>
              <w:rPr/>
            </w:pPr>
            <w:r>
              <w:rPr/>
              <w:t>Calibrated discount rate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500.0</w:t>
            </w:r>
          </w:p>
        </w:tc>
        <w:tc>
          <w:tcPr>
            <w:tcW w:w="230" w:type="dxa"/>
            <w:tcBorders/>
            <w:shd w:fill="CCEEFF" w:val="clear"/>
            <w:vAlign w:val="center"/>
          </w:tcPr>
          <w:p>
            <w:pPr>
              <w:pStyle w:val="TableContents"/>
              <w:bidi w:val="0"/>
              <w:spacing w:before="0" w:after="283"/>
              <w:jc w:val="left"/>
              <w:rPr/>
            </w:pPr>
            <w:r>
              <w:rPr/>
              <w:t>%</w:t>
            </w:r>
          </w:p>
        </w:tc>
      </w:tr>
      <w:tr>
        <w:trPr/>
        <w:tc>
          <w:tcPr>
            <w:tcW w:w="485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sz w:val="20"/>
              </w:rPr>
            </w:pPr>
            <w:r>
              <w:rPr>
                <w:sz w:val="20"/>
              </w:rPr>
              <w:t>3.44%-4.78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2024 LSA Loans as of December 31, 2025:</w:t>
      </w:r>
    </w:p>
    <w:p>
      <w:pPr>
        <w:pStyle w:val="TextBody"/>
        <w:bidi w:val="0"/>
        <w:spacing w:before="0" w:after="0"/>
        <w:ind w:left="0" w:right="0" w:hanging="0"/>
        <w:jc w:val="both"/>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6425"/>
        <w:gridCol w:w="60"/>
        <w:gridCol w:w="283"/>
        <w:gridCol w:w="1132"/>
        <w:gridCol w:w="230"/>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Fair value of Series B Prime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29.39</w:t>
            </w:r>
          </w:p>
        </w:tc>
        <w:tc>
          <w:tcPr>
            <w:tcW w:w="230"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pPr>
            <w:r>
              <w:rPr/>
              <w:t>Equity volatility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75.0</w:t>
            </w:r>
          </w:p>
        </w:tc>
        <w:tc>
          <w:tcPr>
            <w:tcW w:w="230" w:type="dxa"/>
            <w:tcBorders/>
            <w:shd w:fill="FFFFFF" w:val="clear"/>
            <w:vAlign w:val="center"/>
          </w:tcPr>
          <w:p>
            <w:pPr>
              <w:pStyle w:val="TableContents"/>
              <w:bidi w:val="0"/>
              <w:spacing w:before="0" w:after="283"/>
              <w:jc w:val="left"/>
              <w:rPr/>
            </w:pPr>
            <w:r>
              <w:rPr/>
              <w:t>%</w:t>
            </w:r>
          </w:p>
        </w:tc>
      </w:tr>
      <w:tr>
        <w:trPr/>
        <w:tc>
          <w:tcPr>
            <w:tcW w:w="6425" w:type="dxa"/>
            <w:tcBorders/>
            <w:shd w:fill="CCEEFF" w:val="clear"/>
            <w:vAlign w:val="center"/>
          </w:tcPr>
          <w:p>
            <w:pPr>
              <w:pStyle w:val="TableContents"/>
              <w:bidi w:val="0"/>
              <w:spacing w:before="0" w:after="283"/>
              <w:jc w:val="left"/>
              <w:rPr/>
            </w:pPr>
            <w:r>
              <w:rPr/>
              <w:t>Credit rating</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sz w:val="20"/>
              </w:rPr>
            </w:pPr>
            <w:r>
              <w:rPr>
                <w:sz w:val="20"/>
              </w:rPr>
              <w:t>CCC-</w:t>
            </w:r>
          </w:p>
        </w:tc>
        <w:tc>
          <w:tcPr>
            <w:tcW w:w="230"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pPr>
            <w:r>
              <w:rPr/>
              <w:t>Discount rate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19.7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for the PIPE Warrants were estimated using a Monte Carlo simulation, modeling the future stock price of the Company’s common stock to simulate payoff scenarios for the PIPE Warrants, discounted at the term-matched risk-free rate. The fair value measurements of the PIPE Warrants are calculated as the average present value of all future modeled payoff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relevant assumptions were used in determining the fair value of the PIPE Warrants as of March 31, 2026:</w:t>
      </w:r>
    </w:p>
    <w:p>
      <w:pPr>
        <w:pStyle w:val="TextBody"/>
        <w:bidi w:val="0"/>
        <w:spacing w:before="0" w:after="0"/>
        <w:ind w:left="0" w:right="0" w:hanging="0"/>
        <w:jc w:val="both"/>
        <w:rPr>
          <w:caps w:val="false"/>
          <w:smallCaps w:val="false"/>
        </w:rPr>
      </w:pPr>
      <w:r>
        <w:rPr>
          <w:caps w:val="false"/>
          <w:smallCaps w:val="false"/>
        </w:rPr>
        <w:t> </w:t>
      </w:r>
    </w:p>
    <w:tbl>
      <w:tblPr>
        <w:tblW w:w="4034" w:type="dxa"/>
        <w:jc w:val="left"/>
        <w:tblInd w:w="0" w:type="dxa"/>
        <w:tblLayout w:type="fixed"/>
        <w:tblCellMar>
          <w:top w:w="0" w:type="dxa"/>
          <w:left w:w="0" w:type="dxa"/>
          <w:bottom w:w="0" w:type="dxa"/>
          <w:right w:w="0" w:type="dxa"/>
        </w:tblCellMar>
      </w:tblPr>
      <w:tblGrid>
        <w:gridCol w:w="2675"/>
        <w:gridCol w:w="60"/>
        <w:gridCol w:w="257"/>
        <w:gridCol w:w="812"/>
        <w:gridCol w:w="23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3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Remaining term (years)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4.96</w:t>
            </w:r>
          </w:p>
        </w:tc>
        <w:tc>
          <w:tcPr>
            <w:tcW w:w="23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Fair value of common stock</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w:t>
            </w:r>
          </w:p>
        </w:tc>
        <w:tc>
          <w:tcPr>
            <w:tcW w:w="812" w:type="dxa"/>
            <w:tcBorders/>
            <w:shd w:fill="FFFFFF" w:val="clear"/>
            <w:vAlign w:val="center"/>
          </w:tcPr>
          <w:p>
            <w:pPr>
              <w:pStyle w:val="TableContents"/>
              <w:bidi w:val="0"/>
              <w:spacing w:before="0" w:after="283"/>
              <w:jc w:val="right"/>
              <w:rPr/>
            </w:pPr>
            <w:r>
              <w:rPr/>
              <w:t>7.35</w:t>
            </w:r>
          </w:p>
        </w:tc>
        <w:tc>
          <w:tcPr>
            <w:tcW w:w="23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65.0</w:t>
            </w:r>
          </w:p>
        </w:tc>
        <w:tc>
          <w:tcPr>
            <w:tcW w:w="230" w:type="dxa"/>
            <w:tcBorders/>
            <w:shd w:fill="CCEEFF" w:val="clear"/>
            <w:vAlign w:val="center"/>
          </w:tcPr>
          <w:p>
            <w:pPr>
              <w:pStyle w:val="TableContents"/>
              <w:bidi w:val="0"/>
              <w:spacing w:before="0" w:after="283"/>
              <w:jc w:val="left"/>
              <w:rPr/>
            </w:pPr>
            <w:r>
              <w:rPr/>
              <w:t>%</w:t>
            </w:r>
          </w:p>
        </w:tc>
      </w:tr>
      <w:tr>
        <w:trPr/>
        <w:tc>
          <w:tcPr>
            <w:tcW w:w="267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3.88</w:t>
            </w:r>
          </w:p>
        </w:tc>
        <w:tc>
          <w:tcPr>
            <w:tcW w:w="230" w:type="dxa"/>
            <w:tcBorders/>
            <w:shd w:fill="FFFFFF" w:val="clear"/>
            <w:vAlign w:val="center"/>
          </w:tcPr>
          <w:p>
            <w:pPr>
              <w:pStyle w:val="TableContents"/>
              <w:bidi w:val="0"/>
              <w:spacing w:before="0" w:after="283"/>
              <w:jc w:val="left"/>
              <w:rPr/>
            </w:pPr>
            <w:r>
              <w:rPr/>
              <w:t>%</w:t>
            </w:r>
          </w:p>
        </w:tc>
      </w:tr>
      <w:tr>
        <w:trPr/>
        <w:tc>
          <w:tcPr>
            <w:tcW w:w="267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gains with respect to warrant liabilities outstanding during the three months ended March 31, 2026 and 2025 was as follows:</w:t>
      </w:r>
    </w:p>
    <w:p>
      <w:pPr>
        <w:pStyle w:val="TextBody"/>
        <w:bidi w:val="0"/>
        <w:spacing w:before="0" w:after="0"/>
        <w:ind w:left="0" w:right="0" w:hanging="0"/>
        <w:jc w:val="both"/>
        <w:rPr>
          <w:caps w:val="false"/>
          <w:smallCaps w:val="false"/>
        </w:rPr>
      </w:pPr>
      <w:r>
        <w:rPr>
          <w:caps w:val="false"/>
          <w:smallCaps w:val="false"/>
        </w:rPr>
        <w:t> </w:t>
      </w:r>
    </w:p>
    <w:tbl>
      <w:tblPr>
        <w:tblW w:w="4455" w:type="dxa"/>
        <w:jc w:val="left"/>
        <w:tblInd w:w="0" w:type="dxa"/>
        <w:tblLayout w:type="fixed"/>
        <w:tblCellMar>
          <w:top w:w="0" w:type="dxa"/>
          <w:left w:w="0" w:type="dxa"/>
          <w:bottom w:w="0" w:type="dxa"/>
          <w:right w:w="0" w:type="dxa"/>
        </w:tblCellMar>
      </w:tblPr>
      <w:tblGrid>
        <w:gridCol w:w="3425"/>
        <w:gridCol w:w="60"/>
        <w:gridCol w:w="172"/>
        <w:gridCol w:w="688"/>
        <w:gridCol w:w="11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Fair value as of December 31, 2024</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3,586</w:t>
            </w:r>
          </w:p>
        </w:tc>
        <w:tc>
          <w:tcPr>
            <w:tcW w:w="11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3425" w:type="dxa"/>
            <w:tcBorders/>
            <w:shd w:fill="CCEEFF" w:val="clear"/>
            <w:vAlign w:val="center"/>
          </w:tcPr>
          <w:p>
            <w:pPr>
              <w:pStyle w:val="TableContents"/>
              <w:bidi w:val="0"/>
              <w:spacing w:before="0" w:after="283"/>
              <w:jc w:val="left"/>
              <w:rPr/>
            </w:pPr>
            <w:r>
              <w:rPr/>
              <w:t>Fair value as of March 31,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3,540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4925"/>
        <w:gridCol w:w="60"/>
        <w:gridCol w:w="140"/>
        <w:gridCol w:w="755"/>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76,766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Change in fair value of warrants prior to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(22,111</w:t>
            </w:r>
          </w:p>
        </w:tc>
        <w:tc>
          <w:tcPr>
            <w:tcW w:w="11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Exercise of warrants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(6,859</w:t>
            </w:r>
          </w:p>
        </w:tc>
        <w:tc>
          <w:tcPr>
            <w:tcW w:w="110"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pPr>
            <w:r>
              <w:rPr/>
              <w:t>Exchange of warrants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(3,745</w:t>
            </w:r>
          </w:p>
        </w:tc>
        <w:tc>
          <w:tcPr>
            <w:tcW w:w="11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Issuance of warrants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48,195</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Change in fair value of warrants after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(4,443</w:t>
            </w:r>
          </w:p>
        </w:tc>
        <w:tc>
          <w:tcPr>
            <w:tcW w:w="11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Fair value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87,803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losses with respect to convertible promissory notes outstanding during the three months ended March 31, 2026 was as follows:</w:t>
      </w:r>
    </w:p>
    <w:p>
      <w:pPr>
        <w:pStyle w:val="TextBody"/>
        <w:bidi w:val="0"/>
        <w:spacing w:before="0" w:after="0"/>
        <w:ind w:left="0" w:right="0" w:hanging="0"/>
        <w:jc w:val="both"/>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5495"/>
        <w:gridCol w:w="60"/>
        <w:gridCol w:w="140"/>
        <w:gridCol w:w="875"/>
        <w:gridCol w:w="110"/>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29,107</w:t>
            </w:r>
          </w:p>
        </w:tc>
        <w:tc>
          <w:tcPr>
            <w:tcW w:w="110"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87,824</w:t>
            </w:r>
          </w:p>
        </w:tc>
        <w:tc>
          <w:tcPr>
            <w:tcW w:w="110" w:type="dxa"/>
            <w:tcBorders/>
            <w:shd w:fill="FFFFFF" w:val="clear"/>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Conversion of convertible promissory notes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(116,931</w:t>
            </w:r>
          </w:p>
        </w:tc>
        <w:tc>
          <w:tcPr>
            <w:tcW w:w="110" w:type="dxa"/>
            <w:tcBorders/>
            <w:shd w:fill="CCEEFF"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pPr>
            <w:r>
              <w:rPr/>
              <w:t>Fair value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measurement activity, using unobservable inputs and associated unrealized losses with respect to 2024 LSA Loans outstanding during the three months ended March 31, 2026 was as follows:</w:t>
      </w:r>
    </w:p>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4835"/>
        <w:gridCol w:w="60"/>
        <w:gridCol w:w="140"/>
        <w:gridCol w:w="755"/>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31,382</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Contractual repayments of principal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(4,562</w:t>
            </w:r>
          </w:p>
        </w:tc>
        <w:tc>
          <w:tcPr>
            <w:tcW w:w="11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Non-cash change in fair value of 2024 LSA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1,514</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Extinguishment of 2024 LSA Loans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(28,334</w:t>
            </w:r>
          </w:p>
        </w:tc>
        <w:tc>
          <w:tcPr>
            <w:tcW w:w="110" w:type="dxa"/>
            <w:tcBorders/>
            <w:shd w:fill="FFFFFF" w:val="clear"/>
            <w:vAlign w:val="center"/>
          </w:tcPr>
          <w:p>
            <w:pPr>
              <w:pStyle w:val="TableContents"/>
              <w:bidi w:val="0"/>
              <w:spacing w:before="0" w:after="283"/>
              <w:jc w:val="left"/>
              <w:rPr/>
            </w:pPr>
            <w:r>
              <w:rPr/>
              <w:t>)</w:t>
            </w:r>
          </w:p>
        </w:tc>
      </w:tr>
      <w:tr>
        <w:trPr/>
        <w:tc>
          <w:tcPr>
            <w:tcW w:w="4835" w:type="dxa"/>
            <w:tcBorders/>
            <w:shd w:fill="CCEEFF" w:val="clear"/>
            <w:vAlign w:val="center"/>
          </w:tcPr>
          <w:p>
            <w:pPr>
              <w:pStyle w:val="TableContents"/>
              <w:bidi w:val="0"/>
              <w:spacing w:before="0" w:after="283"/>
              <w:jc w:val="left"/>
              <w:rPr/>
            </w:pPr>
            <w:r>
              <w:rPr/>
              <w:t>Fair value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245"/>
        <w:gridCol w:w="60"/>
        <w:gridCol w:w="182"/>
        <w:gridCol w:w="887"/>
        <w:gridCol w:w="60"/>
        <w:gridCol w:w="60"/>
        <w:gridCol w:w="241"/>
        <w:gridCol w:w="1173"/>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Aircraft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6,166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Aircraft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4,728</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528</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425</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349</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Motor vehicles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85</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15,896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12,281</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5,611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5,173</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pPr>
            <w:r>
              <w:rPr/>
              <w:t>10,285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7,108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and 2025 amounted to $417 and $381,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aircraft, and airport hangar space under noncancelable operating lease agreements, which require escalating monthly rental payments plus related operating costs and expire on various dates through 2033. These leases contain no provisions for renewal other than a certain New Zealand lease, which contains one renewal option for five years. The Company is not reasonably certain to elect the renewal option and has excluded it in the related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the Company entered into a lease agreement that has not commenced for airport hangar and corporate office space in Bedford, MA and thus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March 31, 2026, the premises and the land for the temporary hangar have not yet been made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lease agreement to lease office space in Boston, MA. The lease commencement date was March 23, 2026 and the lease term expires on January 31, 2029. The Company retains the right to terminate the lease, effective on the second anniversary of the lease commencement date with no less than nine months prior written notice being provided, for a termination penalty of $150. The early lease termination option is reasonably certain of being exercised and was therefore included in the computation of the operating lease right of use asset and corresponding operating lease liability. The lease is accounted for as an operating lease, and the Company recognized an operating lease right of use asset and lease liability of $1,632 at the lease commencement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for the three months ended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4731" w:type="dxa"/>
        <w:jc w:val="left"/>
        <w:tblInd w:w="0" w:type="dxa"/>
        <w:tblLayout w:type="fixed"/>
        <w:tblCellMar>
          <w:top w:w="0" w:type="dxa"/>
          <w:left w:w="0" w:type="dxa"/>
          <w:bottom w:w="0" w:type="dxa"/>
          <w:right w:w="0" w:type="dxa"/>
        </w:tblCellMar>
      </w:tblPr>
      <w:tblGrid>
        <w:gridCol w:w="2390"/>
        <w:gridCol w:w="60"/>
        <w:gridCol w:w="266"/>
        <w:gridCol w:w="723"/>
        <w:gridCol w:w="114"/>
        <w:gridCol w:w="114"/>
        <w:gridCol w:w="266"/>
        <w:gridCol w:w="723"/>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283"/>
              <w:jc w:val="left"/>
              <w:rPr>
                <w:b/>
              </w:rPr>
            </w:pPr>
            <w:r>
              <w:rPr>
                <w:b/>
              </w:rPr>
              <w:t>Component</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254</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225</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159</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25</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Variable lease expense</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Total lease expense</w:t>
            </w:r>
          </w:p>
        </w:tc>
        <w:tc>
          <w:tcPr>
            <w:tcW w:w="60" w:type="dxa"/>
            <w:tcBorders/>
            <w:shd w:fill="FFFFFF" w:val="clear"/>
            <w:vAlign w:val="center"/>
          </w:tcPr>
          <w:p>
            <w:pPr>
              <w:pStyle w:val="TableContents"/>
              <w:bidi w:val="0"/>
              <w:spacing w:before="0" w:after="283"/>
              <w:jc w:val="left"/>
              <w:rPr/>
            </w:pPr>
            <w:r>
              <w:rPr/>
              <w:t> </w:t>
            </w:r>
          </w:p>
        </w:tc>
        <w:tc>
          <w:tcPr>
            <w:tcW w:w="2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418</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FFFFFF" w:val="clear"/>
            <w:tcMar>
              <w:bottom w:w="28" w:type="dxa"/>
            </w:tcMar>
            <w:vAlign w:val="center"/>
          </w:tcPr>
          <w:p>
            <w:pPr>
              <w:pStyle w:val="TableContents"/>
              <w:bidi w:val="0"/>
              <w:spacing w:before="0" w:after="283"/>
              <w:jc w:val="right"/>
              <w:rPr/>
            </w:pPr>
            <w:r>
              <w:rPr/>
              <w:t>251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and discount rate for operating leases were as follows:</w:t>
      </w:r>
    </w:p>
    <w:p>
      <w:pPr>
        <w:pStyle w:val="TextBody"/>
        <w:bidi w:val="0"/>
        <w:spacing w:before="0" w:after="0"/>
        <w:ind w:left="0" w:right="0" w:hanging="0"/>
        <w:jc w:val="both"/>
        <w:rPr>
          <w:caps w:val="false"/>
          <w:smallCaps w:val="false"/>
        </w:rPr>
      </w:pPr>
      <w:r>
        <w:rPr>
          <w:caps w:val="false"/>
          <w:smallCaps w:val="false"/>
        </w:rPr>
        <w:t> </w:t>
      </w:r>
    </w:p>
    <w:tbl>
      <w:tblPr>
        <w:tblW w:w="7749" w:type="dxa"/>
        <w:jc w:val="left"/>
        <w:tblInd w:w="0" w:type="dxa"/>
        <w:tblLayout w:type="fixed"/>
        <w:tblCellMar>
          <w:top w:w="0" w:type="dxa"/>
          <w:left w:w="0" w:type="dxa"/>
          <w:bottom w:w="0" w:type="dxa"/>
          <w:right w:w="0" w:type="dxa"/>
        </w:tblCellMar>
      </w:tblPr>
      <w:tblGrid>
        <w:gridCol w:w="4700"/>
        <w:gridCol w:w="60"/>
        <w:gridCol w:w="102"/>
        <w:gridCol w:w="967"/>
        <w:gridCol w:w="215"/>
        <w:gridCol w:w="60"/>
        <w:gridCol w:w="136"/>
        <w:gridCol w:w="1279"/>
        <w:gridCol w:w="23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3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3.17</w:t>
            </w:r>
          </w:p>
        </w:tc>
        <w:tc>
          <w:tcPr>
            <w:tcW w:w="23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12.52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13.21</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minimum operating lease payments as of March 31, 2026 are as follows:</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28" w:type="dxa"/>
          <w:right w:w="0" w:type="dxa"/>
        </w:tblCellMar>
      </w:tblPr>
      <w:tblGrid>
        <w:gridCol w:w="3590"/>
        <w:gridCol w:w="60"/>
        <w:gridCol w:w="172"/>
        <w:gridCol w:w="688"/>
        <w:gridCol w:w="75"/>
      </w:tblGrid>
      <w:tr>
        <w:trPr/>
        <w:tc>
          <w:tcPr>
            <w:tcW w:w="3590" w:type="dxa"/>
            <w:tcBorders>
              <w:bottom w:val="single" w:sz="12"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8" w:type="dxa"/>
            <w:tcBorders/>
            <w:shd w:fill="CCEEFF" w:val="clear"/>
            <w:tcMar>
              <w:bottom w:w="0" w:type="dxa"/>
            </w:tcMar>
            <w:vAlign w:val="center"/>
          </w:tcPr>
          <w:p>
            <w:pPr>
              <w:pStyle w:val="TableContents"/>
              <w:bidi w:val="0"/>
              <w:spacing w:before="0" w:after="283"/>
              <w:jc w:val="right"/>
              <w:rPr/>
            </w:pPr>
            <w:r>
              <w:rPr/>
              <w:t>989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1,096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460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171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Total future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2,874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Less present value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455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Present value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2,419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90" w:type="dxa"/>
            <w:tcBorders/>
            <w:shd w:fill="FFFFFF" w:val="clear"/>
            <w:tcMar>
              <w:bottom w:w="0" w:type="dxa"/>
            </w:tcMar>
            <w:vAlign w:val="center"/>
          </w:tcPr>
          <w:p>
            <w:pPr>
              <w:pStyle w:val="TableContents"/>
              <w:bidi w:val="0"/>
              <w:spacing w:before="0" w:after="283"/>
              <w:jc w:val="left"/>
              <w:rPr/>
            </w:pPr>
            <w:r>
              <w:rPr/>
              <w:t>Less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FFFFFF" w:val="clear"/>
            <w:vAlign w:val="center"/>
          </w:tcPr>
          <w:p>
            <w:pPr>
              <w:pStyle w:val="TableContents"/>
              <w:bidi w:val="0"/>
              <w:spacing w:before="0" w:after="283"/>
              <w:jc w:val="left"/>
              <w:rPr/>
            </w:pPr>
            <w:r>
              <w:rPr/>
              <w:t> </w:t>
            </w:r>
          </w:p>
        </w:tc>
        <w:tc>
          <w:tcPr>
            <w:tcW w:w="688" w:type="dxa"/>
            <w:tcBorders>
              <w:bottom w:val="single" w:sz="12" w:space="0" w:color="000000"/>
            </w:tcBorders>
            <w:shd w:fill="FFFFFF" w:val="clear"/>
            <w:vAlign w:val="center"/>
          </w:tcPr>
          <w:p>
            <w:pPr>
              <w:pStyle w:val="TableContents"/>
              <w:bidi w:val="0"/>
              <w:spacing w:before="0" w:after="283"/>
              <w:jc w:val="right"/>
              <w:rPr/>
            </w:pPr>
            <w:r>
              <w:rPr/>
              <w:t>977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90" w:type="dxa"/>
            <w:tcBorders/>
            <w:shd w:fill="CCEEFF" w:val="clear"/>
            <w:tcMar>
              <w:bottom w:w="0" w:type="dxa"/>
            </w:tcMar>
            <w:vAlign w:val="center"/>
          </w:tcPr>
          <w:p>
            <w:pPr>
              <w:pStyle w:val="TableContents"/>
              <w:bidi w:val="0"/>
              <w:spacing w:before="0" w:after="283"/>
              <w:jc w:val="left"/>
              <w:rPr/>
            </w:pPr>
            <w:r>
              <w:rPr/>
              <w:t>Long-term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CCEEFF" w:val="clear"/>
            <w:vAlign w:val="center"/>
          </w:tcPr>
          <w:p>
            <w:pPr>
              <w:pStyle w:val="TableContents"/>
              <w:bidi w:val="0"/>
              <w:spacing w:before="0" w:after="283"/>
              <w:jc w:val="left"/>
              <w:rPr/>
            </w:pPr>
            <w:r>
              <w:rPr/>
              <w:t>$</w:t>
            </w:r>
          </w:p>
        </w:tc>
        <w:tc>
          <w:tcPr>
            <w:tcW w:w="688" w:type="dxa"/>
            <w:tcBorders>
              <w:bottom w:val="double" w:sz="10" w:space="0" w:color="000000"/>
            </w:tcBorders>
            <w:shd w:fill="CCEEFF" w:val="clear"/>
            <w:vAlign w:val="center"/>
          </w:tcPr>
          <w:p>
            <w:pPr>
              <w:pStyle w:val="TableContents"/>
              <w:bidi w:val="0"/>
              <w:spacing w:before="0" w:after="283"/>
              <w:jc w:val="right"/>
              <w:rPr/>
            </w:pPr>
            <w:r>
              <w:rPr/>
              <w:t>1,442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885"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outstanding long-term debt as of December 31, 2025:</w:t>
      </w:r>
    </w:p>
    <w:p>
      <w:pPr>
        <w:pStyle w:val="TextBody"/>
        <w:bidi w:val="0"/>
        <w:spacing w:before="0" w:after="0"/>
        <w:ind w:left="0" w:right="0" w:hanging="0"/>
        <w:jc w:val="both"/>
        <w:rPr>
          <w:caps w:val="false"/>
          <w:smallCaps w:val="false"/>
        </w:rPr>
      </w:pPr>
      <w:r>
        <w:rPr>
          <w:caps w:val="false"/>
          <w:smallCaps w:val="false"/>
        </w:rPr>
        <w:t> </w:t>
      </w:r>
    </w:p>
    <w:tbl>
      <w:tblPr>
        <w:tblW w:w="6204" w:type="dxa"/>
        <w:jc w:val="left"/>
        <w:tblInd w:w="0" w:type="dxa"/>
        <w:tblLayout w:type="fixed"/>
        <w:tblCellMar>
          <w:top w:w="0" w:type="dxa"/>
          <w:left w:w="0" w:type="dxa"/>
          <w:bottom w:w="0" w:type="dxa"/>
          <w:right w:w="0" w:type="dxa"/>
        </w:tblCellMar>
      </w:tblPr>
      <w:tblGrid>
        <w:gridCol w:w="4010"/>
        <w:gridCol w:w="60"/>
        <w:gridCol w:w="350"/>
        <w:gridCol w:w="1709"/>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December 31, </w:t>
              <w:br/>
              <w:t>2025</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2021 LSA Loan</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70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2022 PGF Loan</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672</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2024 LSA Loans</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09" w:type="dxa"/>
            <w:tcBorders>
              <w:bottom w:val="single" w:sz="12" w:space="0" w:color="000000"/>
            </w:tcBorders>
            <w:shd w:fill="CCEEFF" w:val="clear"/>
            <w:tcMar>
              <w:bottom w:w="28" w:type="dxa"/>
            </w:tcMar>
            <w:vAlign w:val="center"/>
          </w:tcPr>
          <w:p>
            <w:pPr>
              <w:pStyle w:val="TableContents"/>
              <w:bidi w:val="0"/>
              <w:spacing w:before="0" w:after="283"/>
              <w:jc w:val="right"/>
              <w:rPr/>
            </w:pPr>
            <w:r>
              <w:rPr/>
              <w:t>31,383</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Total long-term debt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709" w:type="dxa"/>
            <w:tcBorders/>
            <w:shd w:fill="FFFFFF" w:val="clear"/>
            <w:vAlign w:val="center"/>
          </w:tcPr>
          <w:p>
            <w:pPr>
              <w:pStyle w:val="TableContents"/>
              <w:bidi w:val="0"/>
              <w:spacing w:before="0" w:after="283"/>
              <w:jc w:val="right"/>
              <w:rPr/>
            </w:pPr>
            <w:r>
              <w:rPr/>
              <w:t>32,055</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Less current maturities of long-term debt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709" w:type="dxa"/>
            <w:tcBorders/>
            <w:shd w:fill="CCEEFF" w:val="clear"/>
            <w:vAlign w:val="center"/>
          </w:tcPr>
          <w:p>
            <w:pPr>
              <w:pStyle w:val="TableContents"/>
              <w:bidi w:val="0"/>
              <w:spacing w:before="0" w:after="283"/>
              <w:jc w:val="right"/>
              <w:rPr/>
            </w:pPr>
            <w:r>
              <w:rPr/>
              <w:t>19,271</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Less unamortized deferred financing costs</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0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Total long-term debt, net</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09" w:type="dxa"/>
            <w:tcBorders>
              <w:bottom w:val="double" w:sz="10" w:space="0" w:color="000000"/>
            </w:tcBorders>
            <w:shd w:fill="CCEEFF" w:val="clear"/>
            <w:tcMar>
              <w:bottom w:w="28" w:type="dxa"/>
            </w:tcMar>
            <w:vAlign w:val="center"/>
          </w:tcPr>
          <w:p>
            <w:pPr>
              <w:pStyle w:val="TableContents"/>
              <w:bidi w:val="0"/>
              <w:spacing w:before="0" w:after="283"/>
              <w:jc w:val="right"/>
              <w:rPr/>
            </w:pPr>
            <w:r>
              <w:rPr/>
              <w:t>12,784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redemption of the 2022 PGF Loan, the redemption of the 2024 LSA Loans, and the conversions of the Pre-PIPE Bridge and Pre-Funded PIPE Notes in connection with the Merger, the Company did not have any outstanding debt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2021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September 2021, the Company entered into a loan and security agreement (“2021 LSA”) with the lender thereto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issue term loans under the 2021 LSA Second Tranche, the Company was required to achieve certain operational milestones and the 2021 LSA Second Tranche expired unused in March 2022. Further, the Company had no enforceable right to issue term loans under the 2021 LSA Reserve as any binding commitment thereto was subject to the Company and lender agreeing to enter into a binding commitment to provide funding following the Company’s next equity financing round. No amounts were drawn under the 2021 LSA Reserve. In connection with the execution of the 2021 LSA, the Company issued the lender thereunder warrants to purchase the Company’s redeemable convertible preferred stock (“2021 LSA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September 2021, the Company entered into a term loan in an aggregate principal amount of $3,000 under the 2021 LSA First Tranche (“2021 LSA Loan”). The 2021 LSA Loan bore interest at 11% per annum. Pursuant to the terms of the 2021 LSA, the Company was required to make interest-only payments through June 2022, and subsequently, the aggregate principal amount of the 2021 LSA Loan was amortized and paid down in equal monthly installments, together with interest thereon, over the following by 36 months until the final maturity of the 2021 LSA Loan on July 1, 2025. All outstanding principal, plus interest accrued thereon, was repaid in accordance with the contractual terms of the 2021 LSA in July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Zealand Provincial Growth Fund (“PGF”)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MLNL entered into a loan agreement (“2022 PGF Agreement”) with the New Zealand Ministry of Business, Innovation and Employment (“Ministry”), securing a convertible loan commitment in an aggregate principal amount of NZD 1,000 ($660 USD at issuance). Under this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the issuance thereof was required to be paid in-kind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in-kind, was set to become due and payable on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incur any debt issuance costs in connection with the 2022 PGF Agreement. The Company accounted for the 2022 PGF Loan using the effective interest method. The effective interest rate of the 2022 PGF Loan was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Company entered into a loan and security agreement (“2024 LSA”) with the lender thereto, which provided for delayed draw term loan commitments in an aggregate principal amount of $35,000. The aggregate commitments under the 2024 LSA included (a) a delayed draw term loan facility in an aggregate principal amount of $12,500 (the “2024 LSA First Tranche”), (b) a delayed draw term loan tranche in an aggregate principal amount of $12,500 (the “2024 LSA Second Tranche”), and (c) a delayed draw term loan facility tranche in an aggregate principal amount of $10,000 (the “2024 LSA Third Tranche”). As a condition precedent to issue term loans under the 2024 LSA Third Tranche, the Company achieved certain operational milestones as defined in the 2024 LSA. In connection with the entrance into the 2024 LSA, the Company issued the lender thereto warrants to purchase the Company’s redeemable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thereof plus 5.0%. In addition to the fixed cash interest, the outstanding principal balance of the 2024 LSA Loans accrued interest paid in-kind at 1.5% per annum, compounded monthly. Inclusive of both cash interest and interest paid in-kind, the total nominal interest rate of the 2024 LSA Loans issued under the 2024 LSA First, Second, and Third Tranches was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2024 LSA Amendment (as defined below), the Company was required to make interest-only payments at the cash interest rate through February 2025, and subsequently, the aggregate principal amount of the 2024 LSA Loans would be amortized and paid down in equal monthly installments, together with cash interest thereon, over the following 24 months until final maturity on January 31, 2027. On the maturity date, all unpaid principal of 2024 LSA Loans, together with cash interest and all interest paid-in kind, was set to become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2024 LSA, the Company recorded a debt discount of $622, related to the payment of lender fees and the issuance of preferred stock warrant liabilities which was amortized to interest expense over the life of the 2024 LSA Loans using the effective interest method. The effective interest rates of the 2024 LSA Loans for the First, Second, and Third Tranches was 14.5%, 14.7%, and 14.9%,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and the lender thereto entered into an amendment to the 2024 LSA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into making such amendment, the Company issued warrants to purchase the Company’s redeemable convertible preferred stock with a fair value of $759 (“2024 LSA Amendment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recordkeeping on an ongoing basis.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and utilizing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Pre-PIPE Bridge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entered into a convertible note purchase agreement (“Pre-PIPE Bridge Agreement”) with the purchasers thereto, pursuant to which the Company could issue up to $23,445 in aggregate principal amount of unsecured convertible promissory notes (“Pre-PIPE Bridge Notes”). Additionally, pursuant to the Pre-PIPE Bridge Agreement, the Company issued common stock warrants (“Pre-PIPE Bridge Warrants”) to the purchasers thereto and, accordingly, the proceeds received in connection with each issuance were allocated between the Pre-PIPE Bridge Notes and Warrants (refer to Note 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Pre-PIPE Bridge Notes in an aggregate principal amount of $23,445 between July and August 2025. The Company accounted for the Pre-PIPE Bridge Notes under the fair value option and, accordingly, all issuance costs incurred in connection with the entrance into the Pre-PIPE Bridge Agreement and the issuance of Pre-PIPE Bridge Notes thereunder were expensed as incurred. The Company elected to record the Pre-PIPE Bridge Notes under the fair value option based on the short-term maturity of the Pre-PIPE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and in connection with the Pre-Funded PIPE transaction (as defined below), the Company and the holders of the Pre-PIPE Bridge Notes amended the terms of the Pre-PIPE Bridge Notes to more closely align with those of the Pre-Funded PIPE Notes (“Pre-PIPE Bridge Amendment”). As the Pre-PIPE Bridge Notes were accounted for under the fair value option, all amendment costs were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Pre-PIPE Bridge Amendment, the Pre-PIPE Bridge Notes accrued interest at 12.0% per annum, compounded semi-annually, until the principal amount of Pre-PIPE Bridge Notes and all interest accrued thereon was repaid or converted. The Pre-PIPE Bridge Amendment did not change the maturity date of the Pre-PIPE Bridge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the Company entered into a securities purchase agreement (“Pre-Funded PIPE Agreement”) with the purchasers thereto, pursuant to which the Company agreed to sell, and the purchasers agreed to purchase, unsecured convertible promissory notes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Pre-Funded PIPE Agreement, the Company issued $64,706 in aggregate principal amount of unsecured convertible promissory notes (“Pre-Funded PIPE Notes”) and common stock warrants (“Pre-Funded PIPE Warrants”) for total proceeds of $55,000 which were allocated between the Pre-Funded PIPE Notes and Warrants. The Company accounted for the Pre-Funded PIPE Notes under the fair value option and, accordingly, all issuance costs incurred in connection with the entrance into the Pre-Funded PIPE Agreement and the issuance of Pre-Funded PIPE Notes thereunder were expensed as incurred. The Company elected to record the Pre-Funded PIPE Notes under the fair value option based on the short-term maturity of the Pre-Funded PIPE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Pre-Funded PIPE Agreement contained a provision that provided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had a de minimis fair value at its expiration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2025, the Pre-Funded PIPE Agreement was amended to permit the issuance of incremental Pre-Funded PIPE Notes and Warrants under the original terms of the Pre-Funded PIPE Agreement (“Pre-Funded PIPE Amendment”). No terms of the issued and outstanding Pre-Funded PIPE Notes and Warrants were modified in connection with the Pre-Funded PIPE Amendment. On November 18, 2025 and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PIPE Notes accrued interest at a fixed rate of 12.0% per annum, compounded semi-annually, until the principal amount of Pre-Funded PIPE Notes and all interest accrued thereon was repaid or converted. All principal and accrued interest thereon was set to become due and payable upon demand by the purchasers thereof on or after August 13, 2026, unless earlier converted or 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connection with the 2019 loan and security agreement (“2019 LSA Warrants”), the 2021 LSA Warrants, and the 2024 LSA Warrants were determined to meet the criteria for liability classification pursuant to ASC 480 as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and in accordance with the terms thereof, the holder of the 2024 LSA Warrants elected to exchange all of the 2024 LSA Warrants for Pre-PIPE Bridge Notes and accompanying Pre-PIPE Bridge Warrants. Therefore, none of the 2024 LSA Warrants were issued and outstanding as of immediately prior to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LSA Amendment Warrants were determined to meet the criteria for liability classification pursuant to ASC 480 as the terms thereof permitted the holder to exchange the 2024 LSA Amendment Warrants for instruments issued in any bridge financing occurring after the issuance date thereof,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Business Combination Agreement and the applicable terms thereof, the Pre-PIPE Bridge and Pre-Funded PIPE Warrants were converted into PIPE Warrants to purchase shares of the Company’s common stock in connection with the Merger. Additionally, PIPE Warrants were issued for cash in connection with the Closing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Warrants were determined to meet the criteria for liability classification pursuant to ASC 815 because certain settlement adjustments prevent them from meeting the fixed-for-fixed equity classification criteria. The PIPE Warrants are therefore required to be initially and subsequently measured at fair value with changes in fair value presented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warrants to purchase common stock as of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7"/>
        <w:gridCol w:w="60"/>
        <w:gridCol w:w="119"/>
        <w:gridCol w:w="2231"/>
        <w:gridCol w:w="60"/>
        <w:gridCol w:w="60"/>
        <w:gridCol w:w="2851"/>
        <w:gridCol w:w="60"/>
        <w:gridCol w:w="392"/>
        <w:gridCol w:w="1570"/>
        <w:gridCol w:w="60"/>
        <w:gridCol w:w="60"/>
        <w:gridCol w:w="1485"/>
      </w:tblGrid>
      <w:tr>
        <w:trPr/>
        <w:tc>
          <w:tcPr>
            <w:tcW w:w="11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 Underlying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1" w:type="dxa"/>
            <w:tcBorders>
              <w:bottom w:val="single" w:sz="12" w:space="0" w:color="000000"/>
            </w:tcBorders>
            <w:tcMar>
              <w:bottom w:w="28" w:type="dxa"/>
            </w:tcMar>
            <w:vAlign w:val="center"/>
          </w:tcPr>
          <w:p>
            <w:pPr>
              <w:pStyle w:val="TableContents"/>
              <w:bidi w:val="0"/>
              <w:spacing w:before="0" w:after="283"/>
              <w:jc w:val="center"/>
              <w:rPr>
                <w:b/>
              </w:rPr>
            </w:pPr>
            <w:r>
              <w:rPr>
                <w:b/>
              </w:rPr>
              <w:t>Class of Underlying Warrant Shares</w:t>
            </w:r>
          </w:p>
        </w:tc>
        <w:tc>
          <w:tcPr>
            <w:tcW w:w="60" w:type="dxa"/>
            <w:tcBorders/>
            <w:vAlign w:val="center"/>
          </w:tcPr>
          <w:p>
            <w:pPr>
              <w:pStyle w:val="TableContents"/>
              <w:bidi w:val="0"/>
              <w:spacing w:before="0" w:after="283"/>
              <w:jc w:val="left"/>
              <w:rPr/>
            </w:pPr>
            <w:r>
              <w:rPr/>
              <w:t> </w:t>
            </w:r>
          </w:p>
        </w:tc>
        <w:tc>
          <w:tcPr>
            <w:tcW w:w="1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Price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5" w:type="dxa"/>
            <w:tcBorders>
              <w:bottom w:val="single" w:sz="12" w:space="0" w:color="000000"/>
            </w:tcBorders>
            <w:tcMar>
              <w:bottom w:w="28" w:type="dxa"/>
            </w:tcMar>
            <w:vAlign w:val="center"/>
          </w:tcPr>
          <w:p>
            <w:pPr>
              <w:pStyle w:val="TableContents"/>
              <w:bidi w:val="0"/>
              <w:spacing w:before="0" w:after="283"/>
              <w:jc w:val="center"/>
              <w:rPr>
                <w:b/>
              </w:rPr>
            </w:pPr>
            <w:r>
              <w:rPr>
                <w:b/>
              </w:rPr>
              <w:t>Expiration Date</w:t>
            </w:r>
          </w:p>
        </w:tc>
      </w:tr>
      <w:tr>
        <w:trPr/>
        <w:tc>
          <w:tcPr>
            <w:tcW w:w="1197" w:type="dxa"/>
            <w:tcBorders/>
            <w:shd w:fill="CCEEFF" w:val="clear"/>
            <w:vAlign w:val="center"/>
          </w:tcPr>
          <w:p>
            <w:pPr>
              <w:pStyle w:val="TableContents"/>
              <w:bidi w:val="0"/>
              <w:spacing w:before="0" w:after="283"/>
              <w:jc w:val="left"/>
              <w:rPr>
                <w:sz w:val="20"/>
              </w:rPr>
            </w:pPr>
            <w:r>
              <w:rPr>
                <w:sz w:val="20"/>
              </w:rPr>
              <w:t>PIPE Warrants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31" w:type="dxa"/>
            <w:tcBorders/>
            <w:shd w:fill="CCEEFF" w:val="clear"/>
            <w:vAlign w:val="center"/>
          </w:tcPr>
          <w:p>
            <w:pPr>
              <w:pStyle w:val="TableContents"/>
              <w:bidi w:val="0"/>
              <w:spacing w:before="0" w:after="283"/>
              <w:jc w:val="right"/>
              <w:rPr/>
            </w:pPr>
            <w:r>
              <w:rPr/>
              <w:t>21,157,300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1" w:type="dxa"/>
            <w:tcBorders/>
            <w:shd w:fill="CCEEFF" w:val="clear"/>
            <w:vAlign w:val="center"/>
          </w:tcPr>
          <w:p>
            <w:pPr>
              <w:pStyle w:val="TableContents"/>
              <w:bidi w:val="0"/>
              <w:spacing w:before="0" w:after="283"/>
              <w:jc w:val="center"/>
              <w:rPr/>
            </w:pPr>
            <w:r>
              <w:rPr/>
              <w:t>Common Stock</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157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5" w:type="dxa"/>
            <w:tcBorders/>
            <w:shd w:fill="CCEEFF" w:val="clear"/>
            <w:vAlign w:val="center"/>
          </w:tcPr>
          <w:p>
            <w:pPr>
              <w:pStyle w:val="TableContents"/>
              <w:bidi w:val="0"/>
              <w:spacing w:before="0" w:after="283"/>
              <w:jc w:val="center"/>
              <w:rPr/>
            </w:pPr>
            <w:r>
              <w:rPr/>
              <w:t>March 31, 2031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on the twenty-first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is also subject to certain customary adjustments for stock dividends and splits, dilutive issuances of common stock, subsequent rights offerings, pro rata distributions, and 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recorded a gain on the change in fair value of warrant liabilities of $26,555 and $46, respectively. Refer to Note 5. Fair Value Measurements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Mezzanine Equity and Stockholders’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Legacy Merlin’s redeemable convertible preferred stock automatically converted, on a one-to-one basis, into shares of Legacy Merlin common stock immediately prior to the consummation of the Merger. Upon the Closing of the Merger, all issued and outstanding shares of Legacy Merlin’s common stock were exchanged for common stock at an exchange ratio of approximately 3.102.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75"/>
        <w:gridCol w:w="60"/>
        <w:gridCol w:w="154"/>
        <w:gridCol w:w="2856"/>
        <w:gridCol w:w="60"/>
        <w:gridCol w:w="60"/>
        <w:gridCol w:w="121"/>
        <w:gridCol w:w="1133"/>
        <w:gridCol w:w="60"/>
        <w:gridCol w:w="60"/>
        <w:gridCol w:w="117"/>
        <w:gridCol w:w="2171"/>
        <w:gridCol w:w="78"/>
      </w:tblGrid>
      <w:tr>
        <w:trPr/>
        <w:tc>
          <w:tcPr>
            <w:tcW w:w="3275" w:type="dxa"/>
            <w:tcBorders>
              <w:bottom w:val="single" w:sz="12" w:space="0" w:color="000000"/>
            </w:tcBorders>
            <w:vAlign w:val="center"/>
          </w:tcPr>
          <w:p>
            <w:pPr>
              <w:pStyle w:val="TableContents"/>
              <w:bidi w:val="0"/>
              <w:spacing w:before="0" w:after="283"/>
              <w:jc w:val="left"/>
              <w:rPr>
                <w:b/>
              </w:rPr>
            </w:pPr>
            <w:r>
              <w:rPr>
                <w:b/>
              </w:rPr>
              <w:t>Class of Legacy Merlin Redeemable Convertible Preferred Stock</w:t>
            </w:r>
          </w:p>
        </w:tc>
        <w:tc>
          <w:tcPr>
            <w:tcW w:w="60" w:type="dxa"/>
            <w:tcBorders/>
            <w:tcMar>
              <w:bottom w:w="0" w:type="dxa"/>
            </w:tcMar>
            <w:vAlign w:val="center"/>
          </w:tcPr>
          <w:p>
            <w:pPr>
              <w:pStyle w:val="TableContents"/>
              <w:bidi w:val="0"/>
              <w:spacing w:before="0" w:after="283"/>
              <w:jc w:val="left"/>
              <w:rPr/>
            </w:pPr>
            <w:r>
              <w:rPr/>
              <w:t> </w:t>
            </w:r>
          </w:p>
        </w:tc>
        <w:tc>
          <w:tcPr>
            <w:tcW w:w="3010" w:type="dxa"/>
            <w:gridSpan w:val="2"/>
            <w:tcBorders>
              <w:bottom w:val="single" w:sz="12" w:space="0" w:color="000000"/>
            </w:tcBorders>
            <w:vAlign w:val="center"/>
          </w:tcPr>
          <w:p>
            <w:pPr>
              <w:pStyle w:val="TableContents"/>
              <w:bidi w:val="0"/>
              <w:spacing w:before="0" w:after="283"/>
              <w:jc w:val="center"/>
              <w:rPr>
                <w:b/>
              </w:rPr>
            </w:pPr>
            <w:r>
              <w:rPr>
                <w:b/>
              </w:rPr>
              <w:t>Number of Shares Issued and Outstanding Before Closing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4" w:type="dxa"/>
            <w:gridSpan w:val="2"/>
            <w:tcBorders>
              <w:bottom w:val="single" w:sz="12" w:space="0" w:color="000000"/>
            </w:tcBorders>
            <w:vAlign w:val="center"/>
          </w:tcPr>
          <w:p>
            <w:pPr>
              <w:pStyle w:val="TableContents"/>
              <w:bidi w:val="0"/>
              <w:spacing w:before="0" w:after="283"/>
              <w:jc w:val="center"/>
              <w:rPr>
                <w:b/>
              </w:rPr>
            </w:pPr>
            <w:r>
              <w:rPr>
                <w:b/>
              </w:rPr>
              <w:t>Exchange Ratio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8" w:type="dxa"/>
            <w:gridSpan w:val="2"/>
            <w:tcBorders>
              <w:bottom w:val="single" w:sz="12" w:space="0" w:color="000000"/>
            </w:tcBorders>
            <w:vAlign w:val="center"/>
          </w:tcPr>
          <w:p>
            <w:pPr>
              <w:pStyle w:val="TableContents"/>
              <w:bidi w:val="0"/>
              <w:spacing w:before="0" w:after="283"/>
              <w:jc w:val="center"/>
              <w:rPr>
                <w:b/>
              </w:rPr>
            </w:pPr>
            <w:r>
              <w:rPr>
                <w:b/>
              </w:rPr>
              <w:t>Common Stock Issued After Conversion</w:t>
            </w:r>
          </w:p>
        </w:tc>
        <w:tc>
          <w:tcPr>
            <w:tcW w:w="78"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Series Seed redeemable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856" w:type="dxa"/>
            <w:tcBorders/>
            <w:shd w:fill="CCEEFF" w:val="clear"/>
            <w:tcMar>
              <w:bottom w:w="0" w:type="dxa"/>
            </w:tcMar>
            <w:vAlign w:val="center"/>
          </w:tcPr>
          <w:p>
            <w:pPr>
              <w:pStyle w:val="TableContents"/>
              <w:bidi w:val="0"/>
              <w:spacing w:before="0" w:after="283"/>
              <w:jc w:val="right"/>
              <w:rPr/>
            </w:pPr>
            <w:r>
              <w:rPr/>
              <w:t>3,293,745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3.102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71" w:type="dxa"/>
            <w:tcBorders/>
            <w:shd w:fill="CCEEFF" w:val="clear"/>
            <w:tcMar>
              <w:bottom w:w="0" w:type="dxa"/>
            </w:tcMar>
            <w:vAlign w:val="center"/>
          </w:tcPr>
          <w:p>
            <w:pPr>
              <w:pStyle w:val="TableContents"/>
              <w:bidi w:val="0"/>
              <w:spacing w:before="0" w:after="283"/>
              <w:jc w:val="right"/>
              <w:rPr/>
            </w:pPr>
            <w:r>
              <w:rPr/>
              <w:t>10,215,578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Series A redeemable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856" w:type="dxa"/>
            <w:tcBorders/>
            <w:shd w:fill="FFFFFF" w:val="clear"/>
            <w:tcMar>
              <w:bottom w:w="0" w:type="dxa"/>
            </w:tcMar>
            <w:vAlign w:val="center"/>
          </w:tcPr>
          <w:p>
            <w:pPr>
              <w:pStyle w:val="TableContents"/>
              <w:bidi w:val="0"/>
              <w:spacing w:before="0" w:after="283"/>
              <w:jc w:val="right"/>
              <w:rPr/>
            </w:pPr>
            <w:r>
              <w:rPr/>
              <w:t>7,493,114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3.102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71" w:type="dxa"/>
            <w:tcBorders/>
            <w:shd w:fill="FFFFFF" w:val="clear"/>
            <w:tcMar>
              <w:bottom w:w="0" w:type="dxa"/>
            </w:tcMar>
            <w:vAlign w:val="center"/>
          </w:tcPr>
          <w:p>
            <w:pPr>
              <w:pStyle w:val="TableContents"/>
              <w:bidi w:val="0"/>
              <w:spacing w:before="0" w:after="283"/>
              <w:jc w:val="right"/>
              <w:rPr/>
            </w:pPr>
            <w:r>
              <w:rPr/>
              <w:t>23,239,955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Series A-1 redeemable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2856" w:type="dxa"/>
            <w:tcBorders/>
            <w:shd w:fill="CCEEFF" w:val="clear"/>
            <w:tcMar>
              <w:bottom w:w="0" w:type="dxa"/>
            </w:tcMar>
            <w:vAlign w:val="center"/>
          </w:tcPr>
          <w:p>
            <w:pPr>
              <w:pStyle w:val="TableContents"/>
              <w:bidi w:val="0"/>
              <w:spacing w:before="0" w:after="283"/>
              <w:jc w:val="right"/>
              <w:rPr/>
            </w:pPr>
            <w:r>
              <w:rPr/>
              <w:t>928,217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3.102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2171" w:type="dxa"/>
            <w:tcBorders/>
            <w:shd w:fill="CCEEFF" w:val="clear"/>
            <w:tcMar>
              <w:bottom w:w="0" w:type="dxa"/>
            </w:tcMar>
            <w:vAlign w:val="center"/>
          </w:tcPr>
          <w:p>
            <w:pPr>
              <w:pStyle w:val="TableContents"/>
              <w:bidi w:val="0"/>
              <w:spacing w:before="0" w:after="283"/>
              <w:jc w:val="right"/>
              <w:rPr/>
            </w:pPr>
            <w:r>
              <w:rPr/>
              <w:t>2,878,873</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Series B redeemable convertible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2856" w:type="dxa"/>
            <w:tcBorders/>
            <w:shd w:fill="FFFFFF" w:val="clear"/>
            <w:tcMar>
              <w:bottom w:w="0" w:type="dxa"/>
            </w:tcMar>
            <w:vAlign w:val="center"/>
          </w:tcPr>
          <w:p>
            <w:pPr>
              <w:pStyle w:val="TableContents"/>
              <w:bidi w:val="0"/>
              <w:spacing w:before="0" w:after="283"/>
              <w:jc w:val="right"/>
              <w:rPr/>
            </w:pPr>
            <w:r>
              <w:rPr/>
              <w:t>4,718,309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3.102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2171" w:type="dxa"/>
            <w:tcBorders/>
            <w:shd w:fill="FFFFFF" w:val="clear"/>
            <w:tcMar>
              <w:bottom w:w="0" w:type="dxa"/>
            </w:tcMar>
            <w:vAlign w:val="center"/>
          </w:tcPr>
          <w:p>
            <w:pPr>
              <w:pStyle w:val="TableContents"/>
              <w:bidi w:val="0"/>
              <w:spacing w:before="0" w:after="283"/>
              <w:jc w:val="right"/>
              <w:rPr/>
            </w:pPr>
            <w:r>
              <w:rPr/>
              <w:t>14,633,876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pPr>
            <w:r>
              <w:rPr/>
              <w:t>Series B-1 redeemable convertible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2856" w:type="dxa"/>
            <w:tcBorders>
              <w:bottom w:val="single" w:sz="12" w:space="0" w:color="000000"/>
            </w:tcBorders>
            <w:shd w:fill="CCEEFF" w:val="clear"/>
            <w:vAlign w:val="center"/>
          </w:tcPr>
          <w:p>
            <w:pPr>
              <w:pStyle w:val="TableContents"/>
              <w:bidi w:val="0"/>
              <w:spacing w:before="0" w:after="283"/>
              <w:jc w:val="right"/>
              <w:rPr/>
            </w:pPr>
            <w:r>
              <w:rPr/>
              <w:t>947,631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right"/>
              <w:rPr/>
            </w:pPr>
            <w:r>
              <w:rPr/>
              <w:t>3.102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single" w:sz="12" w:space="0" w:color="000000"/>
            </w:tcBorders>
            <w:shd w:fill="CCEEFF" w:val="clear"/>
            <w:vAlign w:val="center"/>
          </w:tcPr>
          <w:p>
            <w:pPr>
              <w:pStyle w:val="TableContents"/>
              <w:bidi w:val="0"/>
              <w:spacing w:before="0" w:after="283"/>
              <w:jc w:val="left"/>
              <w:rPr/>
            </w:pPr>
            <w:r>
              <w:rPr/>
              <w:t> </w:t>
            </w:r>
          </w:p>
        </w:tc>
        <w:tc>
          <w:tcPr>
            <w:tcW w:w="2171" w:type="dxa"/>
            <w:tcBorders>
              <w:bottom w:val="single" w:sz="12" w:space="0" w:color="000000"/>
            </w:tcBorders>
            <w:shd w:fill="CCEEFF" w:val="clear"/>
            <w:vAlign w:val="center"/>
          </w:tcPr>
          <w:p>
            <w:pPr>
              <w:pStyle w:val="TableContents"/>
              <w:bidi w:val="0"/>
              <w:spacing w:before="0" w:after="283"/>
              <w:jc w:val="right"/>
              <w:rPr/>
            </w:pPr>
            <w:r>
              <w:rPr/>
              <w:t>2,939,086</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pPr>
            <w:r>
              <w:rPr/>
              <w:t> </w:t>
            </w:r>
          </w:p>
        </w:tc>
        <w:tc>
          <w:tcPr>
            <w:tcW w:w="2856" w:type="dxa"/>
            <w:tcBorders>
              <w:bottom w:val="double" w:sz="10" w:space="0" w:color="000000"/>
            </w:tcBorders>
            <w:shd w:fill="FFFFFF" w:val="clear"/>
            <w:vAlign w:val="center"/>
          </w:tcPr>
          <w:p>
            <w:pPr>
              <w:pStyle w:val="TableContents"/>
              <w:bidi w:val="0"/>
              <w:spacing w:before="0" w:after="283"/>
              <w:jc w:val="right"/>
              <w:rPr/>
            </w:pPr>
            <w:r>
              <w:rPr/>
              <w:t>17,381,016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bottom w:val="double" w:sz="10" w:space="0" w:color="000000"/>
            </w:tcBorders>
            <w:shd w:fill="FFFFFF" w:val="clear"/>
            <w:vAlign w:val="center"/>
          </w:tcPr>
          <w:p>
            <w:pPr>
              <w:pStyle w:val="TableContents"/>
              <w:bidi w:val="0"/>
              <w:spacing w:before="0" w:after="283"/>
              <w:jc w:val="left"/>
              <w:rPr/>
            </w:pPr>
            <w:r>
              <w:rPr/>
              <w:t> </w:t>
            </w:r>
          </w:p>
        </w:tc>
        <w:tc>
          <w:tcPr>
            <w:tcW w:w="2171" w:type="dxa"/>
            <w:tcBorders>
              <w:bottom w:val="double" w:sz="10" w:space="0" w:color="000000"/>
            </w:tcBorders>
            <w:shd w:fill="FFFFFF" w:val="clear"/>
            <w:vAlign w:val="center"/>
          </w:tcPr>
          <w:p>
            <w:pPr>
              <w:pStyle w:val="TableContents"/>
              <w:bidi w:val="0"/>
              <w:spacing w:before="0" w:after="283"/>
              <w:jc w:val="right"/>
              <w:rPr/>
            </w:pPr>
            <w:r>
              <w:rPr/>
              <w:t>53,907,368</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715,455,443 shares of common stock are reserved for the conversion of Series A Preferred Stock and exercise of stock options and PIPE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after the Merger, certain holders of Series A Preferred Stock converted 3,571 shares of Series A Preferred Stock into 3,579 shares of common stock. As of March 31, 2026, 21,711,880 shares of Series A Preferred Stock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the following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is convertible at any time, at the option of the holder, into a whole number of shares of Company Stock determined by dividing (i) the Accrued Value by (ii) the then-applicable conversion price. The conversion price is initially $12.00, subject to customary adjustments for stock dividends and splits, dilutive issuances of common stock, subsequent rights offerings, pro rata distributions, and fundamental transactions. Additionally, if on the twenty-first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date that is six months after the Closing Date, the 20-day volume-weighted average price of common stock is less than the conversion price then in effect, the conversion price shall be reduced to the greater of (i) such volume-weighted average price and (ii)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applicable laws, the Series A Preferred Stock is redeemable at the option of the holder commencing after the fifth anniversary of the Closing Date at a redemption price equal to the Accrued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applicable laws, the Company shall retain the option to redeem the Series A Preferred Stock at any time,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Prior to the first anniversary of the Closing Date, at a redemption price equal to 150% of the Accrued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after the first anniversary of the Closing Date, but before the second anniversary, at a redemption price equal to 140% of the Accrued Value;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after the second anniversary of the Closing Date, but before the third anniversary, at a redemption price equal to 130% of the Accrued Value;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after the third anniversary of the Closing Date, but before the fourth anniversary, at a redemption price equal to 120% of the Accrued Value;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 or after the fourth anniversary of the Closing Date, but before the fifth anniversary, at a redemption price equal to 110% of the Accrued Value;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On or after the fifth anniversary of the Closing Date, at a redemption price equal to 100% of the Accrued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basic and diluted net loss per share. The Company’s Series A Preferred Stock and PIPE Warrants are considered participating securities because they entitle holders to participate in dividends to common stockholders, on an as-converted and as-exercised basis, respectively. Under the two-class method, earnings of the Company are allocated between common stockholders and participating securities based on the weighted-average number of shares of common stock and participating securities outstanding during the relevant period. The participating securities do not have a contractual obligation to share in the losses of the Company. Therefore, net loss is fully attributable to the Company’s common stockholders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numerators and denominators of the basic and diluted net loss computations for the Company’s common stock were calculated as follows:</w:t>
      </w:r>
    </w:p>
    <w:p>
      <w:pPr>
        <w:pStyle w:val="TextBody"/>
        <w:bidi w:val="0"/>
        <w:spacing w:before="0" w:after="0"/>
        <w:ind w:left="0" w:right="0" w:hanging="0"/>
        <w:jc w:val="both"/>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6140"/>
        <w:gridCol w:w="60"/>
        <w:gridCol w:w="140"/>
        <w:gridCol w:w="1100"/>
        <w:gridCol w:w="95"/>
        <w:gridCol w:w="60"/>
        <w:gridCol w:w="140"/>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(90,419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(12,733</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Series A Preferred Stock dividends and accretion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(91,836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(12,733</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Weighted average common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72,421,272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70,947,705</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(0.18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outstanding potentially dilutive common stock equivalents have been excluded from the computation of diluted net loss per share for the periods presented due to their anti-dilutive effect:</w:t>
      </w:r>
    </w:p>
    <w:p>
      <w:pPr>
        <w:pStyle w:val="TextBody"/>
        <w:bidi w:val="0"/>
        <w:spacing w:before="0" w:after="0"/>
        <w:ind w:left="0" w:right="0" w:hanging="0"/>
        <w:jc w:val="both"/>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2960"/>
        <w:gridCol w:w="60"/>
        <w:gridCol w:w="60"/>
        <w:gridCol w:w="1100"/>
        <w:gridCol w:w="60"/>
        <w:gridCol w:w="60"/>
        <w:gridCol w:w="60"/>
        <w:gridCol w:w="1100"/>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21,818,962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7,353,451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8,538,342</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23,607</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2019 LSA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449,489</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2021 LSA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251,805</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2024 LSA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696,940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2024 LSA Conversion Feature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663,754</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PIPE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21,157,300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50,329,713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10,623,937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2018, the Board of Directors adopted the Merlin Labs 2018 Equity Incentive Plan (“the Plan”). Under the terms of the Plan, incentive stock options (“ISOs”) may be granted to employees of the Company and nonqualified stock options or restricted stock awards may be granted to directors, consultants, employees and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authorized common stock includes 10,386,879 shares of common stock reserved for the issuance of options under the Plan, of which 1,677,207 shares are available for future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under the Plan during the three months ended March 31, 2026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4"/>
        <w:gridCol w:w="60"/>
        <w:gridCol w:w="75"/>
        <w:gridCol w:w="1232"/>
        <w:gridCol w:w="95"/>
        <w:gridCol w:w="60"/>
        <w:gridCol w:w="432"/>
        <w:gridCol w:w="1597"/>
        <w:gridCol w:w="95"/>
        <w:gridCol w:w="60"/>
        <w:gridCol w:w="387"/>
        <w:gridCol w:w="2071"/>
        <w:gridCol w:w="60"/>
        <w:gridCol w:w="60"/>
        <w:gridCol w:w="257"/>
        <w:gridCol w:w="1259"/>
        <w:gridCol w:w="81"/>
      </w:tblGrid>
      <w:tr>
        <w:trPr/>
        <w:tc>
          <w:tcPr>
            <w:tcW w:w="2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 (Per Share)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1" w:type="dxa"/>
            <w:tcBorders/>
            <w:vAlign w:val="center"/>
          </w:tcPr>
          <w:p>
            <w:pPr>
              <w:pStyle w:val="TableContents"/>
              <w:bidi w:val="0"/>
              <w:spacing w:before="0" w:after="283"/>
              <w:jc w:val="left"/>
              <w:rPr/>
            </w:pPr>
            <w:r>
              <w:rPr/>
              <w:t> </w:t>
            </w:r>
          </w:p>
        </w:tc>
      </w:tr>
      <w:tr>
        <w:trPr/>
        <w:tc>
          <w:tcPr>
            <w:tcW w:w="2324"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2,094,080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597" w:type="dxa"/>
            <w:tcBorders/>
            <w:shd w:fill="CCEEFF" w:val="clear"/>
            <w:vAlign w:val="center"/>
          </w:tcPr>
          <w:p>
            <w:pPr>
              <w:pStyle w:val="TableContents"/>
              <w:bidi w:val="0"/>
              <w:spacing w:before="0" w:after="283"/>
              <w:jc w:val="right"/>
              <w:rPr/>
            </w:pPr>
            <w:r>
              <w:rPr/>
              <w:t>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34,460</w:t>
            </w:r>
          </w:p>
        </w:tc>
        <w:tc>
          <w:tcPr>
            <w:tcW w:w="81" w:type="dxa"/>
            <w:tcBorders/>
            <w:shd w:fill="CCEEFF" w:val="clear"/>
            <w:vAlign w:val="center"/>
          </w:tcPr>
          <w:p>
            <w:pPr>
              <w:pStyle w:val="TableContents"/>
              <w:bidi w:val="0"/>
              <w:spacing w:before="0" w:after="283"/>
              <w:jc w:val="left"/>
              <w:rPr/>
            </w:pPr>
            <w:r>
              <w:rPr/>
              <w:t> </w:t>
            </w:r>
          </w:p>
        </w:tc>
      </w:tr>
      <w:tr>
        <w:trPr/>
        <w:tc>
          <w:tcPr>
            <w:tcW w:w="2324" w:type="dxa"/>
            <w:tcBorders/>
            <w:shd w:fill="FFFFFF" w:val="clear"/>
            <w:vAlign w:val="center"/>
          </w:tcPr>
          <w:p>
            <w:pPr>
              <w:pStyle w:val="TableContents"/>
              <w:bidi w:val="0"/>
              <w:spacing w:before="0" w:after="283"/>
              <w:jc w:val="left"/>
              <w:rPr/>
            </w:pPr>
            <w:r>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FFFFFF" w:val="clear"/>
            <w:tcMar>
              <w:bottom w:w="28" w:type="dxa"/>
            </w:tcMar>
            <w:vAlign w:val="center"/>
          </w:tcPr>
          <w:p>
            <w:pPr>
              <w:pStyle w:val="TableContents"/>
              <w:bidi w:val="0"/>
              <w:spacing w:before="0" w:after="283"/>
              <w:jc w:val="right"/>
              <w:rPr/>
            </w:pPr>
            <w:r>
              <w:rPr/>
              <w:t>4,400,730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97" w:type="dxa"/>
            <w:tcBorders>
              <w:bottom w:val="single" w:sz="12" w:space="0" w:color="000000"/>
            </w:tcBorders>
            <w:shd w:fill="FFFFFF" w:val="clear"/>
            <w:tcMar>
              <w:bottom w:w="28" w:type="dxa"/>
            </w:tcMar>
            <w:vAlign w:val="center"/>
          </w:tcPr>
          <w:p>
            <w:pPr>
              <w:pStyle w:val="TableContents"/>
              <w:bidi w:val="0"/>
              <w:spacing w:before="0" w:after="283"/>
              <w:jc w:val="right"/>
              <w:rPr/>
            </w:pPr>
            <w:r>
              <w:rPr/>
              <w:t>(3.88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07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324" w:type="dxa"/>
            <w:tcBorders/>
            <w:shd w:fill="CCEEFF" w:val="clear"/>
            <w:vAlign w:val="center"/>
          </w:tcPr>
          <w:p>
            <w:pPr>
              <w:pStyle w:val="TableContents"/>
              <w:bidi w:val="0"/>
              <w:spacing w:before="0" w:after="283"/>
              <w:jc w:val="left"/>
              <w:rPr/>
            </w:pPr>
            <w:r>
              <w:rPr/>
              <w:t>Outstanding at December 31, 2025, as adjusted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6,494,810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34,460</w:t>
            </w:r>
          </w:p>
        </w:tc>
        <w:tc>
          <w:tcPr>
            <w:tcW w:w="81" w:type="dxa"/>
            <w:tcBorders/>
            <w:shd w:fill="CCEEFF" w:val="clear"/>
            <w:vAlign w:val="center"/>
          </w:tcPr>
          <w:p>
            <w:pPr>
              <w:pStyle w:val="TableContents"/>
              <w:bidi w:val="0"/>
              <w:spacing w:before="0" w:after="283"/>
              <w:jc w:val="left"/>
              <w:rPr/>
            </w:pPr>
            <w:r>
              <w:rPr/>
              <w:t> </w:t>
            </w:r>
          </w:p>
        </w:tc>
      </w:tr>
      <w:tr>
        <w:trPr/>
        <w:tc>
          <w:tcPr>
            <w:tcW w:w="2324"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1,680,541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324"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(406,385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3,058</w:t>
            </w:r>
          </w:p>
        </w:tc>
        <w:tc>
          <w:tcPr>
            <w:tcW w:w="81" w:type="dxa"/>
            <w:tcBorders/>
            <w:shd w:fill="CCEEFF" w:val="clear"/>
            <w:vAlign w:val="center"/>
          </w:tcPr>
          <w:p>
            <w:pPr>
              <w:pStyle w:val="TableContents"/>
              <w:bidi w:val="0"/>
              <w:spacing w:before="0" w:after="283"/>
              <w:jc w:val="left"/>
              <w:rPr/>
            </w:pPr>
            <w:r>
              <w:rPr/>
              <w:t> </w:t>
            </w:r>
          </w:p>
        </w:tc>
      </w:tr>
      <w:tr>
        <w:trPr/>
        <w:tc>
          <w:tcPr>
            <w:tcW w:w="2324"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(389,227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324"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bidi w:val="0"/>
              <w:spacing w:before="0" w:after="283"/>
              <w:jc w:val="right"/>
              <w:rPr/>
            </w:pPr>
            <w:r>
              <w:rPr/>
              <w:t>(26,288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right"/>
              <w:rPr/>
            </w:pPr>
            <w:r>
              <w:rPr/>
              <w:t>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5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324" w:type="dxa"/>
            <w:tcBorders/>
            <w:shd w:fill="FFFFFF" w:val="clear"/>
            <w:vAlign w:val="center"/>
          </w:tcPr>
          <w:p>
            <w:pPr>
              <w:pStyle w:val="TableContents"/>
              <w:bidi w:val="0"/>
              <w:spacing w:before="0" w:after="283"/>
              <w:jc w:val="left"/>
              <w:rPr/>
            </w:pPr>
            <w:r>
              <w:rPr/>
              <w:t>Outstanding at March 31, 2026</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FFFFFF" w:val="clear"/>
            <w:tcMar>
              <w:bottom w:w="28" w:type="dxa"/>
            </w:tcMar>
            <w:vAlign w:val="center"/>
          </w:tcPr>
          <w:p>
            <w:pPr>
              <w:pStyle w:val="TableContents"/>
              <w:bidi w:val="0"/>
              <w:spacing w:before="0" w:after="283"/>
              <w:jc w:val="right"/>
              <w:rPr/>
            </w:pPr>
            <w:r>
              <w:rPr/>
              <w:t>7,353,451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597" w:type="dxa"/>
            <w:tcBorders/>
            <w:shd w:fill="FFFFFF" w:val="cle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071"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59" w:type="dxa"/>
            <w:tcBorders/>
            <w:shd w:fill="FFFFFF" w:val="clear"/>
            <w:vAlign w:val="center"/>
          </w:tcPr>
          <w:p>
            <w:pPr>
              <w:pStyle w:val="TableContents"/>
              <w:bidi w:val="0"/>
              <w:spacing w:before="0" w:after="283"/>
              <w:jc w:val="right"/>
              <w:rPr/>
            </w:pPr>
            <w:r>
              <w:rPr/>
              <w:t>29,046</w:t>
            </w:r>
          </w:p>
        </w:tc>
        <w:tc>
          <w:tcPr>
            <w:tcW w:w="81" w:type="dxa"/>
            <w:tcBorders/>
            <w:shd w:fill="FFFFFF" w:val="clear"/>
            <w:vAlign w:val="center"/>
          </w:tcPr>
          <w:p>
            <w:pPr>
              <w:pStyle w:val="TableContents"/>
              <w:bidi w:val="0"/>
              <w:spacing w:before="0" w:after="283"/>
              <w:jc w:val="left"/>
              <w:rPr/>
            </w:pPr>
            <w:r>
              <w:rPr/>
              <w:t> </w:t>
            </w:r>
          </w:p>
        </w:tc>
      </w:tr>
      <w:tr>
        <w:trPr/>
        <w:tc>
          <w:tcPr>
            <w:tcW w:w="2324" w:type="dxa"/>
            <w:tcBorders/>
            <w:shd w:fill="CCEEFF" w:val="clear"/>
            <w:vAlign w:val="center"/>
          </w:tcPr>
          <w:p>
            <w:pPr>
              <w:pStyle w:val="TableContents"/>
              <w:bidi w:val="0"/>
              <w:spacing w:before="0" w:after="283"/>
              <w:jc w:val="left"/>
              <w:rPr/>
            </w:pPr>
            <w:r>
              <w:rPr/>
              <w:t>Exercisable at March 31, 2026</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double" w:sz="10" w:space="0" w:color="000000"/>
            </w:tcBorders>
            <w:shd w:fill="CCEEFF" w:val="clear"/>
            <w:tcMar>
              <w:bottom w:w="28" w:type="dxa"/>
            </w:tcMar>
            <w:vAlign w:val="center"/>
          </w:tcPr>
          <w:p>
            <w:pPr>
              <w:pStyle w:val="TableContents"/>
              <w:bidi w:val="0"/>
              <w:spacing w:before="0" w:after="283"/>
              <w:jc w:val="right"/>
              <w:rPr/>
            </w:pPr>
            <w:r>
              <w:rPr/>
              <w:t>4,549,732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597"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071"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26,206</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grant-date fair value of options granted during the three months ended March 31, 2026 and 2025 amounted to $11.73 and $3.69,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option holders of the Company exercised 406,385 and 38,617 common stock options, respectively, in exchange for cash proceeds of $226 and $10,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intrinsic value of options exercised during the three months ended March 31, 2026 and 2025 amounted to $3,058 and $85,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stock-based compensation expense amounted to $1,295 and $513, respectively, which is included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is $7,024 of unrecognized compensation expense related to unvested stock-based compensation arrangements granted under the Plan. That cost is expected to be recognized over a weighted average period of 1.33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of options granted is determined based on the average of the vesting term and the contractual lives of all options awarded. The expected dividend yield assumption is based on the Company’s history and expectation of dividend payouts.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exercise prices for options granted, the Company has considered the fair value of the common stock as of the measurement date. Prior to the Merger, the fair value of the common stock has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assumptions used in determining the fair value of the stock-based awards:</w:t>
      </w:r>
    </w:p>
    <w:p>
      <w:pPr>
        <w:pStyle w:val="TextBody"/>
        <w:bidi w:val="0"/>
        <w:spacing w:before="0" w:after="0"/>
        <w:ind w:left="0" w:right="0" w:hanging="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780"/>
        <w:gridCol w:w="60"/>
        <w:gridCol w:w="140"/>
        <w:gridCol w:w="560"/>
        <w:gridCol w:w="215"/>
        <w:gridCol w:w="60"/>
        <w:gridCol w:w="60"/>
        <w:gridCol w:w="1280"/>
        <w:gridCol w:w="23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5"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March 31,</w:t>
            </w:r>
          </w:p>
        </w:tc>
        <w:tc>
          <w:tcPr>
            <w:tcW w:w="23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sz w:val="20"/>
              </w:rPr>
            </w:pPr>
            <w:r>
              <w:rPr>
                <w:sz w:val="20"/>
              </w:rPr>
              <w:t>4.01%-4.06</w:t>
            </w:r>
          </w:p>
        </w:tc>
        <w:tc>
          <w:tcPr>
            <w:tcW w:w="230" w:type="dxa"/>
            <w:tcBorders/>
            <w:shd w:fill="CCEEFF" w:val="clear"/>
            <w:vAlign w:val="center"/>
          </w:tcPr>
          <w:p>
            <w:pPr>
              <w:pStyle w:val="TableContents"/>
              <w:bidi w:val="0"/>
              <w:spacing w:before="0" w:after="283"/>
              <w:jc w:val="left"/>
              <w:rPr/>
            </w:pPr>
            <w:r>
              <w:rPr/>
              <w:t>%</w:t>
            </w:r>
          </w:p>
        </w:tc>
      </w:tr>
      <w:tr>
        <w:trPr/>
        <w:tc>
          <w:tcPr>
            <w:tcW w:w="278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42.25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sz w:val="20"/>
              </w:rPr>
            </w:pPr>
            <w:r>
              <w:rPr>
                <w:sz w:val="20"/>
              </w:rPr>
              <w:t>45.67%-47.475</w:t>
            </w:r>
          </w:p>
        </w:tc>
        <w:tc>
          <w:tcPr>
            <w:tcW w:w="230" w:type="dxa"/>
            <w:tcBorders/>
            <w:shd w:fill="CCEEFF" w:val="clear"/>
            <w:vAlign w:val="center"/>
          </w:tcPr>
          <w:p>
            <w:pPr>
              <w:pStyle w:val="TableContents"/>
              <w:bidi w:val="0"/>
              <w:spacing w:before="0" w:after="283"/>
              <w:jc w:val="left"/>
              <w:rPr/>
            </w:pPr>
            <w:r>
              <w:rPr/>
              <w:t>%</w:t>
            </w:r>
          </w:p>
        </w:tc>
      </w:tr>
      <w:tr>
        <w:trPr/>
        <w:tc>
          <w:tcPr>
            <w:tcW w:w="2780" w:type="dxa"/>
            <w:tcBorders/>
            <w:shd w:fill="FFFFFF" w:val="clear"/>
            <w:vAlign w:val="center"/>
          </w:tcPr>
          <w:p>
            <w:pPr>
              <w:pStyle w:val="TableContents"/>
              <w:bidi w:val="0"/>
              <w:spacing w:before="0" w:after="283"/>
              <w:jc w:val="left"/>
              <w:rPr/>
            </w:pPr>
            <w:r>
              <w:rPr/>
              <w:t>Expected life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sz w:val="20"/>
              </w:rPr>
            </w:pPr>
            <w:r>
              <w:rPr>
                <w:sz w:val="20"/>
              </w:rPr>
              <w:t>5.18-5.99</w:t>
            </w:r>
          </w:p>
        </w:tc>
        <w:tc>
          <w:tcPr>
            <w:tcW w:w="23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Fair value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sz w:val="20"/>
              </w:rPr>
            </w:pPr>
            <w:r>
              <w:rPr>
                <w:sz w:val="20"/>
              </w:rPr>
              <w:t>$3.60-$3.77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as presented within the consolidated statements of operations was as follows:</w:t>
      </w:r>
    </w:p>
    <w:p>
      <w:pPr>
        <w:pStyle w:val="TextBody"/>
        <w:bidi w:val="0"/>
        <w:spacing w:before="0" w:after="0"/>
        <w:ind w:left="0" w:right="0" w:hanging="0"/>
        <w:jc w:val="both"/>
        <w:rPr>
          <w:caps w:val="false"/>
          <w:smallCaps w:val="false"/>
        </w:rPr>
      </w:pPr>
      <w:r>
        <w:rPr>
          <w:caps w:val="false"/>
          <w:smallCaps w:val="false"/>
        </w:rPr>
        <w:t> </w:t>
      </w:r>
    </w:p>
    <w:tbl>
      <w:tblPr>
        <w:tblW w:w="4925" w:type="dxa"/>
        <w:jc w:val="left"/>
        <w:tblInd w:w="0" w:type="dxa"/>
        <w:tblLayout w:type="fixed"/>
        <w:tblCellMar>
          <w:top w:w="0" w:type="dxa"/>
          <w:left w:w="0" w:type="dxa"/>
          <w:bottom w:w="0" w:type="dxa"/>
          <w:right w:w="0" w:type="dxa"/>
        </w:tblCellMar>
      </w:tblPr>
      <w:tblGrid>
        <w:gridCol w:w="2585"/>
        <w:gridCol w:w="60"/>
        <w:gridCol w:w="230"/>
        <w:gridCol w:w="923"/>
        <w:gridCol w:w="98"/>
        <w:gridCol w:w="98"/>
        <w:gridCol w:w="230"/>
        <w:gridCol w:w="626"/>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241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50</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856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385</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189</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1,295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26" w:type="dxa"/>
            <w:tcBorders>
              <w:bottom w:val="single" w:sz="12" w:space="0" w:color="000000"/>
            </w:tcBorders>
            <w:shd w:fill="CCEEFF" w:val="clear"/>
            <w:tcMar>
              <w:bottom w:w="28" w:type="dxa"/>
            </w:tcMar>
            <w:vAlign w:val="center"/>
          </w:tcPr>
          <w:p>
            <w:pPr>
              <w:pStyle w:val="TableContents"/>
              <w:bidi w:val="0"/>
              <w:spacing w:before="0" w:after="283"/>
              <w:jc w:val="right"/>
              <w:rPr/>
            </w:pPr>
            <w:r>
              <w:rPr/>
              <w:t>513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granted 100,000 shares of common stock to non-employees, which were valued on the grant date based on the opening price of MRLN. As of March 31, 2026, the shares of common stock have not yet been issued to the non-employees.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provision for income taxes of $48 and $1 for the three months ended March 31, 2026 and 2025, respectively, yielding effective tax rates of (0.05)% and (0.01)%, respectively. The Company is subject to income tax in the U.S. as well as other tax jurisdictions in which it conducts business. The Company’s effective tax rates for the three months ended March 31, 2026 and 2025 differs from the U.S. statutory rate primarily due to the effect of the valuation allowance recorded against the Company’s net operating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has not recognized any liabilities for uncertain tax positions in its unaudited condensed consolidated financial statements. The Company files tax returns as prescribed by the tax laws of the jurisdictions in which it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Commitments, Contingencies,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March 31, 2026 and December 31, 2025, no amounts have been accrued related to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MERLIN,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Segment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significant segment expenses, which were regularly provided to the CODM:</w:t>
      </w:r>
    </w:p>
    <w:p>
      <w:pPr>
        <w:pStyle w:val="TextBody"/>
        <w:bidi w:val="0"/>
        <w:spacing w:before="0" w:after="0"/>
        <w:ind w:left="0" w:right="0" w:hanging="0"/>
        <w:jc w:val="both"/>
        <w:rPr>
          <w:caps w:val="false"/>
          <w:smallCaps w:val="false"/>
        </w:rPr>
      </w:pPr>
      <w:r>
        <w:rPr>
          <w:caps w:val="false"/>
          <w:smallCaps w:val="false"/>
        </w:rPr>
        <w:t> </w:t>
      </w:r>
    </w:p>
    <w:tbl>
      <w:tblPr>
        <w:tblW w:w="7362" w:type="dxa"/>
        <w:jc w:val="left"/>
        <w:tblInd w:w="0" w:type="dxa"/>
        <w:tblLayout w:type="fixed"/>
        <w:tblCellMar>
          <w:top w:w="0" w:type="dxa"/>
          <w:left w:w="0" w:type="dxa"/>
          <w:bottom w:w="0" w:type="dxa"/>
          <w:right w:w="0" w:type="dxa"/>
        </w:tblCellMar>
      </w:tblPr>
      <w:tblGrid>
        <w:gridCol w:w="4985"/>
        <w:gridCol w:w="60"/>
        <w:gridCol w:w="159"/>
        <w:gridCol w:w="857"/>
        <w:gridCol w:w="107"/>
        <w:gridCol w:w="68"/>
        <w:gridCol w:w="159"/>
        <w:gridCol w:w="857"/>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1,002</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868</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Significant segment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Personnel</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(10,818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(6,998</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Travel and entertainment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(870</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(547</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Consulting and professional services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(15,517</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(3,158</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Aircraft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(896</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(910</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(534</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Facilities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(521</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(1,650</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(664</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(417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(381</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Benefit from contract loss provision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3,435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672</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Benefit from research and development agreement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 significant segment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(28,014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(12,272</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Other segment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517</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301</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(1,614</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(128</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26,555</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(87,824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(2,470</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 other segment expenses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(63,359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(1,328</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(90,371</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(12,732</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(90,419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(12,733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and operating lease right-of-use assets, net by geographic area were as follows:</w:t>
      </w:r>
    </w:p>
    <w:p>
      <w:pPr>
        <w:pStyle w:val="TextBody"/>
        <w:bidi w:val="0"/>
        <w:spacing w:before="0" w:after="0"/>
        <w:ind w:left="0" w:right="0" w:hanging="0"/>
        <w:jc w:val="both"/>
        <w:rPr>
          <w:caps w:val="false"/>
          <w:smallCaps w:val="false"/>
        </w:rPr>
      </w:pPr>
      <w:r>
        <w:rPr>
          <w:caps w:val="false"/>
          <w:smallCaps w:val="false"/>
        </w:rPr>
        <w:t> </w:t>
      </w:r>
    </w:p>
    <w:tbl>
      <w:tblPr>
        <w:tblW w:w="4664" w:type="dxa"/>
        <w:jc w:val="left"/>
        <w:tblInd w:w="0" w:type="dxa"/>
        <w:tblLayout w:type="fixed"/>
        <w:tblCellMar>
          <w:top w:w="0" w:type="dxa"/>
          <w:left w:w="0" w:type="dxa"/>
          <w:bottom w:w="0" w:type="dxa"/>
          <w:right w:w="0" w:type="dxa"/>
        </w:tblCellMar>
      </w:tblPr>
      <w:tblGrid>
        <w:gridCol w:w="1325"/>
        <w:gridCol w:w="60"/>
        <w:gridCol w:w="274"/>
        <w:gridCol w:w="1335"/>
        <w:gridCol w:w="60"/>
        <w:gridCol w:w="60"/>
        <w:gridCol w:w="295"/>
        <w:gridCol w:w="1180"/>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335" w:type="dxa"/>
            <w:tcBorders/>
            <w:shd w:fill="CCEEFF" w:val="clear"/>
            <w:vAlign w:val="center"/>
          </w:tcPr>
          <w:p>
            <w:pPr>
              <w:pStyle w:val="TableContents"/>
              <w:bidi w:val="0"/>
              <w:spacing w:before="0" w:after="283"/>
              <w:jc w:val="right"/>
              <w:rPr/>
            </w:pPr>
            <w:r>
              <w:rPr/>
              <w:t>7,821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4,541</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New Zealand</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12" w:space="0" w:color="000000"/>
            </w:tcBorders>
            <w:shd w:fill="FFFFFF" w:val="clear"/>
            <w:tcMar>
              <w:bottom w:w="28" w:type="dxa"/>
            </w:tcMar>
            <w:vAlign w:val="center"/>
          </w:tcPr>
          <w:p>
            <w:pPr>
              <w:pStyle w:val="TableContents"/>
              <w:bidi w:val="0"/>
              <w:spacing w:before="0" w:after="283"/>
              <w:jc w:val="right"/>
              <w:rPr/>
            </w:pPr>
            <w:r>
              <w:rPr/>
              <w:t>4,865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3,546</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35" w:type="dxa"/>
            <w:tcBorders>
              <w:bottom w:val="double" w:sz="10" w:space="0" w:color="000000"/>
            </w:tcBorders>
            <w:shd w:fill="CCEEFF" w:val="clear"/>
            <w:tcMar>
              <w:bottom w:w="28" w:type="dxa"/>
            </w:tcMar>
            <w:vAlign w:val="center"/>
          </w:tcPr>
          <w:p>
            <w:pPr>
              <w:pStyle w:val="TableContents"/>
              <w:bidi w:val="0"/>
              <w:spacing w:before="0" w:after="283"/>
              <w:jc w:val="right"/>
              <w:rPr/>
            </w:pPr>
            <w:r>
              <w:rPr/>
              <w:t>12,686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8,087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Defined Contribution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plan covering substantially all of its employees who meet certain eligibility requirements. The Company, at the discretion of the Board of Directors, may make contributions to the plan. During the three months ended March 31, 2026 and 2025, the Company made contributions to the plan in the amounts of $59 and $54,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issued 8,000,000 shares of common stock and warrants to purchase 4,000,000 shares of common stock via a PIPE transaction for aggregate gross proceeds of approximately $80,000. The exercise price of the warrants is $6.67 per share and the warrants will expire five years from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discussion and analysis of the financial condition and results of operations of Merlin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the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the final prospectus, dated May 13, 2026 (the “Prospectus”), filed with the Securities and Exchange Commission (the “SEC”), as updated by the factors disclosed in the section titled “Risk Factors” in our Super 8-K and in this Quarterly Report on Form 10-Q.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vision is to be at the forefront of advancing autonomous flight technology and positioning ourselves as the leading U.S.-based developer of autonomy solutions for fixed-wing aircraft. Our non-human pilot system, Merlin Pilot, integrates cutting-edge hardware and software to deliver a comprehensive autonomous flight solution that spans the entire flight process, from takeoff to touchdown. By operating with reduced crew or autonomously, we believe Merlin Pilot can significantly enhance flight efficiency, enabling more flights per day or optimized routes, thereby reducing operational costs. This translates to potential savings of millions of dollars per aircraft annually, offering substantial financial benefits to large fleet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Merlin Pilot not only addresses the global pilot shortage but also enhances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and we have identified approximately $3.0 billion pipeline of opportunities, supporting robust growth in both military and civilian markets. Our active certification program includes an issued certification basis and a certification-conformed system with approved military airworthiness plans, underscoring our commitment to delivering reliable and safe autonomous flight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Merlin Pilot is an advanced automation system designed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is designed around mastering traditional aircraft markets and building a solid foundation of revenue and expertise. Our goal is to sell to both the military and civil sectors.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chosen as the sole prime contractor for a $105 million IDIQ contract to integrate autonomous capabilities into the C-130J for the U.S. Air Force, which is the most widely used military transport aircraft globally. This contract covers the initial adaptation of the platform and can be extended to both low-rate and full-rate production for all United States Air Force Special Operations Command (“USSOCOM”) fixed-wing aircraft.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deploy the first Merlin Pilot on either commercial or military aircraft within the next three years. We incurred net losses of $90,419 thousand and $12,733 thousand for the three months ended March 31,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Merlin Pilot Sale and Installation Fees</w:t>
            </w:r>
            <w:r>
              <w:rPr/>
              <w:t>: The anticipated revenue stream from the sale and installation of Merlin Pilot includes licensing or technology fees for the installation and implementation of our technology on an aircraft. This type of revenue would be incurred a single time and would be non-recurring and varies based on the aircraft type. Over time, we expect to be able to scale our engineering and technical installation and implementation capabilities to reduce costs and increase our margins on this type of revenue.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Software Support Fees</w:t>
            </w:r>
            <w:r>
              <w:rPr/>
              <w:t>: The anticipated revenue stream from software support includes fees generated from providing ongoing technical and 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Ancillary Fees</w:t>
            </w:r>
            <w:r>
              <w:rPr/>
              <w:t>: We also intend to offer ancillary services designed to meet the needs of our customers. In doing so, we intend to take advantage of the insights we’re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which can further optimize routes and individual aircraft performance. We will continue to analyze the possibility of offering additional services as we scale, and the pricing of such services will be dependent on their wide scale acceptability, regulatory approvals and the costs associated with offering such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expect to generate revenues from each of the three revenue streams discussed above, we do not expect to generate revenues from all three simultaneously until we’ve achieved scale in our business. Rather, our growth strategy is structured around a phased implementation approach to ensure efficient deployment and scalability of 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 — Adapt</w:t>
      </w:r>
      <w:r>
        <w:rPr>
          <w:rFonts w:ascii="Times New Roman;Times;Serif" w:hAnsi="Times New Roman;Times;Serif"/>
          <w:b w:val="false"/>
          <w:i w:val="false"/>
          <w:caps w:val="false"/>
          <w:smallCaps w:val="false"/>
          <w:sz w:val="20"/>
        </w:rPr>
        <w:t>: During this phase, our engineers are tailoring the core Merlin Pilot system to specific platforms and mission profiles. This phase involves non-recurring engineering funding for each aircraft type with a scalable engineering process over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2 — Integrate</w:t>
      </w:r>
      <w:r>
        <w:rPr>
          <w:rFonts w:ascii="Times New Roman;Times;Serif" w:hAnsi="Times New Roman;Times;Serif"/>
          <w:b w:val="false"/>
          <w:i w:val="false"/>
          <w:caps w:val="false"/>
          <w:smallCaps w:val="false"/>
          <w:sz w:val="20"/>
        </w:rPr>
        <w:t>: During this phase, the Merlin Pilot system will be integrated onto customer platforms. We may include the use of integration partners which allows us to scale our programs effectively.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3 — License</w:t>
      </w:r>
      <w:r>
        <w:rPr>
          <w:rFonts w:ascii="Times New Roman;Times;Serif" w:hAnsi="Times New Roman;Times;Serif"/>
          <w:b w:val="false"/>
          <w:i w:val="false"/>
          <w:caps w:val="false"/>
          <w:smallCaps w:val="false"/>
          <w:sz w:val="20"/>
        </w:rPr>
        <w:t>: During this phase, we will offer “Autonomy as a Service” to our installed base of aircraft at a pre-negotiated annual rate, which includes software updates and ongoing support for the Merlin software.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we’ve achieved scale, we expect to generate concurrent revenue from all three of the revenue streams listed above as we deploy our technology across both military and civilian sectors, including both in the United States and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success and financial performance depend on a number of factors that present significant opportunities for our business, but also pose risks and challenges, including those described in the section of the Prospectus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commence and expand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a pipeline of potential customers and partners that we expect will play an integral role in bringing our technology to market. We currently depend on the U.S. government for funding given that they’re our single and largest customer. If the U.S. government were to stop the support of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Widespread acceptance of autonomous flight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capitalize on government expenditures in military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we expect political support for military innovation and technology to increase, particularly as the military adopts cutting edge technologies such as autonomous flight. If political support for the prioritization of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maintain regulatory approvals at federal, state and local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capacity for continued growth and ability to achieve and maintain profitability depends in large part on our ability to operate effectively in multiple jurisdictions, including on an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it relates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expand our product services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offer customers a diversified suite of services throughout the life of the autonomous aircraft, beginning at the time in which we’ve successfully installed the Merlin Pilot and it starts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from long-term contracts for the delivery of our Merlin Pilot software and supporting hardware. In order to satisfy these contracts we undertake engineering for research, design, development, manufacturing, integration and sustainment of advanced auto-piloting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labor, materials, travel, subcontractor costs and other expenses incurred directly in the execution of specific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Loss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Research and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third-parties, where the Company is paid for research and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personnel-related costs directly associated with our sales and marketing staff, including salaries, benefits, bonuses, commissions, allocated overhead costs, and stock-based compensation. Sales and marketing expenses also include advertising costs and other expenses associated with our marketing and business development programs. In addition, sales and marketing expenses consist of travel-related expenses, software services dedicated for use by our sales and marketing organizations and outside services contracted for sales and marketing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consists of interest income earned on cash and cash equivalents balances held in interest bearing time and money market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interest on our term borrowings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consists of gains and losses on the disposal of assets and gains and losses from foreign currency transactions and remeasurements of foreign currency-denominated monetary assets and liabilities to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consists of gains and losses resulting from a change in fair value of our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consists of gains and losses resulting from a change in fair value of our convertible promissory notes, together with interest accrued on those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long-term debt consists of gains and losses resulting from a change in fair value of our long-term debt, together with interest accrued on those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our results of operations for the fiscal periods presented. The period-to-period comparison of financial results is not necessarily indicative of future results.</w:t>
      </w:r>
    </w:p>
    <w:p>
      <w:pPr>
        <w:pStyle w:val="TextBody"/>
        <w:bidi w:val="0"/>
        <w:spacing w:before="0" w:after="0"/>
        <w:ind w:left="0" w:right="0" w:hanging="0"/>
        <w:jc w:val="both"/>
        <w:rPr>
          <w:caps w:val="false"/>
          <w:smallCaps w:val="false"/>
        </w:rPr>
      </w:pPr>
      <w:r>
        <w:rPr>
          <w:caps w:val="false"/>
          <w:smallCaps w:val="false"/>
        </w:rPr>
        <w:t> </w:t>
      </w:r>
    </w:p>
    <w:tbl>
      <w:tblPr>
        <w:tblW w:w="7362" w:type="dxa"/>
        <w:jc w:val="left"/>
        <w:tblInd w:w="0" w:type="dxa"/>
        <w:tblLayout w:type="fixed"/>
        <w:tblCellMar>
          <w:top w:w="0" w:type="dxa"/>
          <w:left w:w="0" w:type="dxa"/>
          <w:bottom w:w="0" w:type="dxa"/>
          <w:right w:w="0" w:type="dxa"/>
        </w:tblCellMar>
      </w:tblPr>
      <w:tblGrid>
        <w:gridCol w:w="4985"/>
        <w:gridCol w:w="60"/>
        <w:gridCol w:w="159"/>
        <w:gridCol w:w="857"/>
        <w:gridCol w:w="107"/>
        <w:gridCol w:w="68"/>
        <w:gridCol w:w="159"/>
        <w:gridCol w:w="857"/>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985" w:type="dxa"/>
            <w:tcBorders>
              <w:bottom w:val="single" w:sz="12" w:space="0" w:color="000000"/>
            </w:tcBorders>
            <w:tcMar>
              <w:bottom w:w="28" w:type="dxa"/>
            </w:tcMar>
            <w:vAlign w:val="center"/>
          </w:tcPr>
          <w:p>
            <w:pPr>
              <w:pStyle w:val="TableContents"/>
              <w:bidi w:val="0"/>
              <w:spacing w:before="0" w:after="283"/>
              <w:jc w:val="left"/>
              <w:rPr/>
            </w:pPr>
            <w:r>
              <w:rPr/>
              <w:t>($ 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1,002</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868</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1,640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714</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Contract loss adjustments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(2,451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1,813</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14,090</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6,679</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14,092</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4,520</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643</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359</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28,825</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11,558</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(27,012</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(11,404</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Other (expense) income: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517</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301</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(1,614</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(128</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26,555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convertible promissory notes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(87,824</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(2,470</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(63,359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(1,328</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(90,371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(12,732</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(90,419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(12,733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Comparison of the </w:t>
      </w:r>
      <w:r>
        <w:rPr>
          <w:rFonts w:ascii="Times New Roman;Times;Serif" w:hAnsi="Times New Roman;Times;Serif"/>
          <w:b/>
          <w:i w:val="false"/>
          <w:caps w:val="false"/>
          <w:smallCaps w:val="false"/>
          <w:sz w:val="20"/>
        </w:rPr>
        <w:t xml:space="preserve">Three months ended March 31, 2026 </w:t>
      </w:r>
      <w:r>
        <w:rPr>
          <w:rFonts w:ascii="Times New Roman;Times;Serif" w:hAnsi="Times New Roman;Times;Serif"/>
          <w:b/>
          <w:i w:val="false"/>
          <w:caps w:val="false"/>
          <w:smallCaps w:val="false"/>
          <w:sz w:val="20"/>
          <w:shd w:fill="FFFFFF" w:val="clear"/>
        </w:rPr>
        <w:t xml:space="preserve">and </w:t>
      </w:r>
      <w:r>
        <w:rPr>
          <w:rFonts w:ascii="Times New Roman;Times;Serif" w:hAnsi="Times New Roman;Times;Serif"/>
          <w:b/>
          <w:i w:val="false"/>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Revenue</w:t>
      </w:r>
    </w:p>
    <w:p>
      <w:pPr>
        <w:pStyle w:val="TextBody"/>
        <w:bidi w:val="0"/>
        <w:spacing w:before="0" w:after="0"/>
        <w:ind w:left="0" w:right="0" w:hanging="0"/>
        <w:jc w:val="left"/>
        <w:rPr>
          <w:caps w:val="false"/>
          <w:smallCaps w:val="false"/>
        </w:rPr>
      </w:pPr>
      <w:r>
        <w:rPr>
          <w:caps w:val="false"/>
          <w:smallCaps w:val="false"/>
        </w:rPr>
        <w:t> </w:t>
      </w:r>
    </w:p>
    <w:tbl>
      <w:tblPr>
        <w:tblW w:w="9380" w:type="dxa"/>
        <w:jc w:val="left"/>
        <w:tblInd w:w="0" w:type="dxa"/>
        <w:tblLayout w:type="fixed"/>
        <w:tblCellMar>
          <w:top w:w="0" w:type="dxa"/>
          <w:left w:w="0" w:type="dxa"/>
          <w:bottom w:w="0" w:type="dxa"/>
          <w:right w:w="0" w:type="dxa"/>
        </w:tblCellMar>
      </w:tblPr>
      <w:tblGrid>
        <w:gridCol w:w="4715"/>
        <w:gridCol w:w="60"/>
        <w:gridCol w:w="230"/>
        <w:gridCol w:w="923"/>
        <w:gridCol w:w="98"/>
        <w:gridCol w:w="98"/>
        <w:gridCol w:w="230"/>
        <w:gridCol w:w="626"/>
        <w:gridCol w:w="60"/>
        <w:gridCol w:w="60"/>
        <w:gridCol w:w="219"/>
        <w:gridCol w:w="596"/>
        <w:gridCol w:w="60"/>
        <w:gridCol w:w="60"/>
        <w:gridCol w:w="133"/>
        <w:gridCol w:w="982"/>
        <w:gridCol w:w="23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71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U.S. government agencies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950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13.5</w:t>
            </w:r>
          </w:p>
        </w:tc>
        <w:tc>
          <w:tcPr>
            <w:tcW w:w="23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pPr>
            <w:r>
              <w:rPr/>
              <w:t>Commercial and non-U.S. government customers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26"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6"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67.7</w:t>
            </w:r>
          </w:p>
        </w:tc>
        <w:tc>
          <w:tcPr>
            <w:tcW w:w="230" w:type="dxa"/>
            <w:tcBorders/>
            <w:shd w:fill="FFFFFF" w:val="clear"/>
            <w:vAlign w:val="center"/>
          </w:tcPr>
          <w:p>
            <w:pPr>
              <w:pStyle w:val="TableContents"/>
              <w:bidi w:val="0"/>
              <w:spacing w:before="0" w:after="283"/>
              <w:jc w:val="left"/>
              <w:rPr/>
            </w:pPr>
            <w:r>
              <w:rPr/>
              <w:t>%</w:t>
            </w:r>
          </w:p>
        </w:tc>
      </w:tr>
      <w:tr>
        <w:trPr/>
        <w:tc>
          <w:tcPr>
            <w:tcW w:w="471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3" w:type="dxa"/>
            <w:tcBorders>
              <w:bottom w:val="double" w:sz="10" w:space="0" w:color="000000"/>
            </w:tcBorders>
            <w:shd w:fill="CCEEFF" w:val="clear"/>
            <w:tcMar>
              <w:bottom w:w="28" w:type="dxa"/>
            </w:tcMar>
            <w:vAlign w:val="center"/>
          </w:tcPr>
          <w:p>
            <w:pPr>
              <w:pStyle w:val="TableContents"/>
              <w:bidi w:val="0"/>
              <w:spacing w:before="0" w:after="283"/>
              <w:jc w:val="right"/>
              <w:rPr/>
            </w:pPr>
            <w:r>
              <w:rPr/>
              <w:t>1,002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6" w:type="dxa"/>
            <w:tcBorders>
              <w:bottom w:val="double" w:sz="10" w:space="0" w:color="000000"/>
            </w:tcBorders>
            <w:shd w:fill="CCEEFF" w:val="clear"/>
            <w:tcMar>
              <w:bottom w:w="28" w:type="dxa"/>
            </w:tcMar>
            <w:vAlign w:val="center"/>
          </w:tcPr>
          <w:p>
            <w:pPr>
              <w:pStyle w:val="TableContents"/>
              <w:bidi w:val="0"/>
              <w:spacing w:before="0" w:after="283"/>
              <w:jc w:val="right"/>
              <w:rPr/>
            </w:pPr>
            <w:r>
              <w:rPr/>
              <w:t>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6" w:type="dxa"/>
            <w:tcBorders>
              <w:bottom w:val="double" w:sz="10" w:space="0" w:color="000000"/>
            </w:tcBorders>
            <w:shd w:fill="CCEEFF" w:val="clear"/>
            <w:tcMar>
              <w:bottom w:w="28" w:type="dxa"/>
            </w:tcMar>
            <w:vAlign w:val="center"/>
          </w:tcPr>
          <w:p>
            <w:pPr>
              <w:pStyle w:val="TableContents"/>
              <w:bidi w:val="0"/>
              <w:spacing w:before="0" w:after="283"/>
              <w:jc w:val="right"/>
              <w:rPr/>
            </w:pPr>
            <w:r>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15.4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Revenue for the three months ended March 31, 2026, </w:t>
      </w:r>
      <w:r>
        <w:rPr>
          <w:rFonts w:ascii="Times New Roman;Times;Serif" w:hAnsi="Times New Roman;Times;Serif"/>
          <w:b w:val="false"/>
          <w:i w:val="false"/>
          <w:caps w:val="false"/>
          <w:smallCaps w:val="false"/>
          <w:sz w:val="20"/>
        </w:rPr>
        <w:t xml:space="preserve">increased </w:t>
      </w:r>
      <w:r>
        <w:rPr>
          <w:rFonts w:ascii="Times New Roman;Times;Serif" w:hAnsi="Times New Roman;Times;Serif"/>
          <w:b w:val="false"/>
          <w:i w:val="false"/>
          <w:caps w:val="false"/>
          <w:smallCaps w:val="false"/>
          <w:sz w:val="20"/>
          <w:shd w:fill="FFFFFF" w:val="clear"/>
        </w:rPr>
        <w:t xml:space="preserve">by $134 thousand, or </w:t>
      </w:r>
      <w:r>
        <w:rPr>
          <w:rFonts w:ascii="Times New Roman;Times;Serif" w:hAnsi="Times New Roman;Times;Serif"/>
          <w:b w:val="false"/>
          <w:i w:val="false"/>
          <w:caps w:val="false"/>
          <w:smallCaps w:val="false"/>
          <w:sz w:val="20"/>
        </w:rPr>
        <w:t>15.4%</w:t>
      </w:r>
      <w:r>
        <w:rPr>
          <w:rFonts w:ascii="Times New Roman;Times;Serif" w:hAnsi="Times New Roman;Times;Serif"/>
          <w:b w:val="false"/>
          <w:i w:val="false"/>
          <w:caps w:val="false"/>
          <w:smallCaps w:val="false"/>
          <w:sz w:val="20"/>
          <w:shd w:fill="FFFFFF" w:val="clear"/>
        </w:rPr>
        <w:t>, to $1,002 thousand compared to $868 thousand for the three months ended March 31, 2025. This increase was primarily due to additional work completed under our USSOCOM Contract for the three months ended March 31, 2026, relative to the amount of work completed under our USSOCOM contract for the three months ended March 31, 2025. We expect the USSOCOM Contract to be a key driver of revenue growth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1565"/>
        <w:gridCol w:w="60"/>
        <w:gridCol w:w="230"/>
        <w:gridCol w:w="923"/>
        <w:gridCol w:w="98"/>
        <w:gridCol w:w="98"/>
        <w:gridCol w:w="230"/>
        <w:gridCol w:w="626"/>
        <w:gridCol w:w="60"/>
        <w:gridCol w:w="60"/>
        <w:gridCol w:w="219"/>
        <w:gridCol w:w="596"/>
        <w:gridCol w:w="60"/>
        <w:gridCol w:w="60"/>
        <w:gridCol w:w="107"/>
        <w:gridCol w:w="1008"/>
        <w:gridCol w:w="23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923" w:type="dxa"/>
            <w:tcBorders/>
            <w:shd w:fill="CCEEFF" w:val="clear"/>
            <w:vAlign w:val="center"/>
          </w:tcPr>
          <w:p>
            <w:pPr>
              <w:pStyle w:val="TableContents"/>
              <w:bidi w:val="0"/>
              <w:spacing w:before="0" w:after="283"/>
              <w:jc w:val="right"/>
              <w:rPr/>
            </w:pPr>
            <w:r>
              <w:rPr/>
              <w:t>1,640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26" w:type="dxa"/>
            <w:tcBorders/>
            <w:shd w:fill="CCEEFF" w:val="clear"/>
            <w:vAlign w:val="center"/>
          </w:tcPr>
          <w:p>
            <w:pPr>
              <w:pStyle w:val="TableContents"/>
              <w:bidi w:val="0"/>
              <w:spacing w:before="0" w:after="283"/>
              <w:jc w:val="right"/>
              <w:rPr/>
            </w:pPr>
            <w:r>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129.7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Cost of revenue for the </w:t>
      </w:r>
      <w:r>
        <w:rPr>
          <w:rFonts w:ascii="Times New Roman;Times;Serif" w:hAnsi="Times New Roman;Times;Serif"/>
          <w:b w:val="false"/>
          <w:i w:val="false"/>
          <w:caps w:val="false"/>
          <w:smallCaps w:val="false"/>
          <w:sz w:val="20"/>
        </w:rPr>
        <w:t xml:space="preserve">three months ended March 31, 2026, increased </w:t>
      </w:r>
      <w:r>
        <w:rPr>
          <w:rFonts w:ascii="Times New Roman;Times;Serif" w:hAnsi="Times New Roman;Times;Serif"/>
          <w:b w:val="false"/>
          <w:i w:val="false"/>
          <w:caps w:val="false"/>
          <w:smallCaps w:val="false"/>
          <w:sz w:val="20"/>
          <w:shd w:fill="FFFFFF" w:val="clear"/>
        </w:rPr>
        <w:t xml:space="preserve">by $926 thousand, or </w:t>
      </w:r>
      <w:r>
        <w:rPr>
          <w:rFonts w:ascii="Times New Roman;Times;Serif" w:hAnsi="Times New Roman;Times;Serif"/>
          <w:b w:val="false"/>
          <w:i w:val="false"/>
          <w:caps w:val="false"/>
          <w:smallCaps w:val="false"/>
          <w:sz w:val="20"/>
        </w:rPr>
        <w:t>129.7%</w:t>
      </w:r>
      <w:r>
        <w:rPr>
          <w:rFonts w:ascii="Times New Roman;Times;Serif" w:hAnsi="Times New Roman;Times;Serif"/>
          <w:b w:val="false"/>
          <w:i w:val="false"/>
          <w:caps w:val="false"/>
          <w:smallCaps w:val="false"/>
          <w:sz w:val="20"/>
          <w:shd w:fill="FFFFFF" w:val="clear"/>
        </w:rPr>
        <w:t xml:space="preserve">, to $1,640 thousand compared to $714 thousand for the </w:t>
      </w:r>
      <w:r>
        <w:rPr>
          <w:rFonts w:ascii="Times New Roman;Times;Serif" w:hAnsi="Times New Roman;Times;Serif"/>
          <w:b w:val="false"/>
          <w:i w:val="false"/>
          <w:caps w:val="false"/>
          <w:smallCaps w:val="false"/>
          <w:sz w:val="20"/>
        </w:rPr>
        <w:t>three months ended March 31, 2025</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This increase was primarily the result of subcontractor costs incurred, and other direct charges to cost of revenue associated with </w:t>
      </w:r>
      <w:r>
        <w:rPr>
          <w:rFonts w:ascii="Times New Roman;Times;Serif" w:hAnsi="Times New Roman;Times;Serif"/>
          <w:b w:val="false"/>
          <w:i w:val="false"/>
          <w:caps w:val="false"/>
          <w:smallCaps w:val="false"/>
          <w:sz w:val="20"/>
          <w:shd w:fill="FFFFFF" w:val="clear"/>
        </w:rPr>
        <w:t>our USSOCOM Contract under which we completed more work for the three months ended March 31, 2026 relative to the three months ended March 31, 2025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Loss Adjustments</w:t>
      </w:r>
    </w:p>
    <w:p>
      <w:pPr>
        <w:pStyle w:val="TextBody"/>
        <w:bidi w:val="0"/>
        <w:spacing w:before="0" w:after="0"/>
        <w:ind w:left="0" w:right="0" w:hanging="0"/>
        <w:jc w:val="left"/>
        <w:rPr>
          <w:caps w:val="false"/>
          <w:smallCaps w:val="false"/>
        </w:rPr>
      </w:pPr>
      <w:r>
        <w:rPr>
          <w:caps w:val="false"/>
          <w:smallCaps w:val="false"/>
        </w:rPr>
        <w:t> </w:t>
      </w:r>
    </w:p>
    <w:tbl>
      <w:tblPr>
        <w:tblW w:w="7137" w:type="dxa"/>
        <w:jc w:val="left"/>
        <w:tblInd w:w="0" w:type="dxa"/>
        <w:tblLayout w:type="fixed"/>
        <w:tblCellMar>
          <w:top w:w="0" w:type="dxa"/>
          <w:left w:w="0" w:type="dxa"/>
          <w:bottom w:w="0" w:type="dxa"/>
          <w:right w:w="0" w:type="dxa"/>
        </w:tblCellMar>
      </w:tblPr>
      <w:tblGrid>
        <w:gridCol w:w="2435"/>
        <w:gridCol w:w="60"/>
        <w:gridCol w:w="232"/>
        <w:gridCol w:w="1055"/>
        <w:gridCol w:w="157"/>
        <w:gridCol w:w="99"/>
        <w:gridCol w:w="232"/>
        <w:gridCol w:w="432"/>
        <w:gridCol w:w="60"/>
        <w:gridCol w:w="60"/>
        <w:gridCol w:w="147"/>
        <w:gridCol w:w="668"/>
        <w:gridCol w:w="95"/>
        <w:gridCol w:w="60"/>
        <w:gridCol w:w="209"/>
        <w:gridCol w:w="906"/>
        <w:gridCol w:w="230"/>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243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Contract loss adjustments</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(2,451</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loss adjustments for the three months ended March 31, 2026, increased to $2,451 thousand compared to the three months ended March 31, 2025, due to our revision of the estimate of total internal and subcontractor costs to be incurred in the delivery of the USSOCOM Contract which resulted in the recognition of a favorable adjustment to the contract loss provision of $2,451 thousand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w:t>
      </w:r>
    </w:p>
    <w:p>
      <w:pPr>
        <w:pStyle w:val="TextBody"/>
        <w:bidi w:val="0"/>
        <w:spacing w:before="0" w:after="0"/>
        <w:ind w:left="0" w:right="0" w:hanging="0"/>
        <w:jc w:val="left"/>
        <w:rPr>
          <w:caps w:val="false"/>
          <w:smallCaps w:val="false"/>
        </w:rPr>
      </w:pPr>
      <w:r>
        <w:rPr>
          <w:caps w:val="false"/>
          <w:smallCaps w:val="false"/>
        </w:rPr>
        <w:t> </w:t>
      </w:r>
    </w:p>
    <w:tbl>
      <w:tblPr>
        <w:tblW w:w="7251" w:type="dxa"/>
        <w:jc w:val="left"/>
        <w:tblInd w:w="0" w:type="dxa"/>
        <w:tblLayout w:type="fixed"/>
        <w:tblCellMar>
          <w:top w:w="0" w:type="dxa"/>
          <w:left w:w="0" w:type="dxa"/>
          <w:bottom w:w="0" w:type="dxa"/>
          <w:right w:w="0" w:type="dxa"/>
        </w:tblCellMar>
      </w:tblPr>
      <w:tblGrid>
        <w:gridCol w:w="2585"/>
        <w:gridCol w:w="60"/>
        <w:gridCol w:w="188"/>
        <w:gridCol w:w="916"/>
        <w:gridCol w:w="80"/>
        <w:gridCol w:w="80"/>
        <w:gridCol w:w="188"/>
        <w:gridCol w:w="754"/>
        <w:gridCol w:w="60"/>
        <w:gridCol w:w="60"/>
        <w:gridCol w:w="163"/>
        <w:gridCol w:w="652"/>
        <w:gridCol w:w="60"/>
        <w:gridCol w:w="60"/>
        <w:gridCol w:w="107"/>
        <w:gridCol w:w="1008"/>
        <w:gridCol w:w="23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14,090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754" w:type="dxa"/>
            <w:tcBorders/>
            <w:shd w:fill="CCEEFF" w:val="clear"/>
            <w:vAlign w:val="center"/>
          </w:tcPr>
          <w:p>
            <w:pPr>
              <w:pStyle w:val="TableContents"/>
              <w:bidi w:val="0"/>
              <w:spacing w:before="0" w:after="283"/>
              <w:jc w:val="right"/>
              <w:rPr/>
            </w:pPr>
            <w:r>
              <w:rPr/>
              <w:t>6,679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7,411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three months ended March 31, 2026, increased by $7,411 thousand, or 111.0% to $14,090 thousand compared to $6,679 thousand in the three months ended March 31, 2025, due to increasing personnel related expenses from hiring of new and highly-skilled engineering talent, outsourcing to an increased number of subject matter experts identified specifically to solve unique engineering challenges, and increased equipment and material costs. We expect our personnel related research and development expenses to increase as we continue to expand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General and Administrative </w:t>
      </w:r>
    </w:p>
    <w:p>
      <w:pPr>
        <w:pStyle w:val="TextBody"/>
        <w:bidi w:val="0"/>
        <w:spacing w:before="0" w:after="0"/>
        <w:ind w:left="0" w:right="0" w:hanging="0"/>
        <w:jc w:val="left"/>
        <w:rPr>
          <w:caps w:val="false"/>
          <w:smallCaps w:val="false"/>
        </w:rPr>
      </w:pPr>
      <w:r>
        <w:rPr>
          <w:caps w:val="false"/>
          <w:smallCaps w:val="false"/>
        </w:rPr>
        <w:t> </w:t>
      </w:r>
    </w:p>
    <w:tbl>
      <w:tblPr>
        <w:tblW w:w="7236" w:type="dxa"/>
        <w:jc w:val="left"/>
        <w:tblInd w:w="0" w:type="dxa"/>
        <w:tblLayout w:type="fixed"/>
        <w:tblCellMar>
          <w:top w:w="0" w:type="dxa"/>
          <w:left w:w="0" w:type="dxa"/>
          <w:bottom w:w="0" w:type="dxa"/>
          <w:right w:w="0" w:type="dxa"/>
        </w:tblCellMar>
      </w:tblPr>
      <w:tblGrid>
        <w:gridCol w:w="2570"/>
        <w:gridCol w:w="60"/>
        <w:gridCol w:w="188"/>
        <w:gridCol w:w="916"/>
        <w:gridCol w:w="80"/>
        <w:gridCol w:w="80"/>
        <w:gridCol w:w="188"/>
        <w:gridCol w:w="754"/>
        <w:gridCol w:w="60"/>
        <w:gridCol w:w="60"/>
        <w:gridCol w:w="163"/>
        <w:gridCol w:w="652"/>
        <w:gridCol w:w="60"/>
        <w:gridCol w:w="60"/>
        <w:gridCol w:w="107"/>
        <w:gridCol w:w="1008"/>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570"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14,092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754" w:type="dxa"/>
            <w:tcBorders/>
            <w:shd w:fill="CCEEFF" w:val="clear"/>
            <w:vAlign w:val="center"/>
          </w:tcPr>
          <w:p>
            <w:pPr>
              <w:pStyle w:val="TableContents"/>
              <w:bidi w:val="0"/>
              <w:spacing w:before="0" w:after="283"/>
              <w:jc w:val="right"/>
              <w:rPr/>
            </w:pPr>
            <w:r>
              <w:rPr/>
              <w:t>4,520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9,572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211.8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March 31, 2026, increased by $9,572 thousand, or 211.8% to $14,092 thousand compared to $4,520 thousand in the three months ended March 31, 2025. This was primarily due to an increase in legal, accounting, and other consulting expenses as a result of the Merger and operating as a public company. We expect our general and administrative expenses to increase as we hire additional personnel as we grow our business and operate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Selling and Marketing </w:t>
      </w:r>
    </w:p>
    <w:p>
      <w:pPr>
        <w:pStyle w:val="TextBody"/>
        <w:bidi w:val="0"/>
        <w:spacing w:before="0" w:after="0"/>
        <w:ind w:left="0" w:right="0" w:hanging="0"/>
        <w:jc w:val="left"/>
        <w:rPr>
          <w:caps w:val="false"/>
          <w:smallCaps w:val="false"/>
        </w:rPr>
      </w:pPr>
      <w:r>
        <w:rPr>
          <w:caps w:val="false"/>
          <w:smallCaps w:val="false"/>
        </w:rPr>
        <w:t> </w:t>
      </w:r>
    </w:p>
    <w:tbl>
      <w:tblPr>
        <w:tblW w:w="6771" w:type="dxa"/>
        <w:jc w:val="left"/>
        <w:tblInd w:w="0" w:type="dxa"/>
        <w:tblLayout w:type="fixed"/>
        <w:tblCellMar>
          <w:top w:w="0" w:type="dxa"/>
          <w:left w:w="0" w:type="dxa"/>
          <w:bottom w:w="0" w:type="dxa"/>
          <w:right w:w="0" w:type="dxa"/>
        </w:tblCellMar>
      </w:tblPr>
      <w:tblGrid>
        <w:gridCol w:w="2105"/>
        <w:gridCol w:w="60"/>
        <w:gridCol w:w="266"/>
        <w:gridCol w:w="723"/>
        <w:gridCol w:w="114"/>
        <w:gridCol w:w="114"/>
        <w:gridCol w:w="266"/>
        <w:gridCol w:w="723"/>
        <w:gridCol w:w="60"/>
        <w:gridCol w:w="60"/>
        <w:gridCol w:w="219"/>
        <w:gridCol w:w="596"/>
        <w:gridCol w:w="60"/>
        <w:gridCol w:w="60"/>
        <w:gridCol w:w="133"/>
        <w:gridCol w:w="982"/>
        <w:gridCol w:w="23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643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79.1</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for the three months ended March 31, 2026, increased by $284 thousand, or 79.1%, to $643 thousand compared to $359 thousand in the three months ended March 31, 2025. This was primarily due to increased advertising costs and increased personnel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tbl>
      <w:tblPr>
        <w:tblW w:w="6231" w:type="dxa"/>
        <w:jc w:val="left"/>
        <w:tblInd w:w="0" w:type="dxa"/>
        <w:tblLayout w:type="fixed"/>
        <w:tblCellMar>
          <w:top w:w="0" w:type="dxa"/>
          <w:left w:w="0" w:type="dxa"/>
          <w:bottom w:w="0" w:type="dxa"/>
          <w:right w:w="0" w:type="dxa"/>
        </w:tblCellMar>
      </w:tblPr>
      <w:tblGrid>
        <w:gridCol w:w="1565"/>
        <w:gridCol w:w="60"/>
        <w:gridCol w:w="266"/>
        <w:gridCol w:w="723"/>
        <w:gridCol w:w="114"/>
        <w:gridCol w:w="114"/>
        <w:gridCol w:w="266"/>
        <w:gridCol w:w="723"/>
        <w:gridCol w:w="60"/>
        <w:gridCol w:w="60"/>
        <w:gridCol w:w="219"/>
        <w:gridCol w:w="596"/>
        <w:gridCol w:w="60"/>
        <w:gridCol w:w="60"/>
        <w:gridCol w:w="133"/>
        <w:gridCol w:w="982"/>
        <w:gridCol w:w="23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517</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right"/>
              <w:rPr/>
            </w:pPr>
            <w:r>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71.8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three months ended March 31, 2026, increased by $216 thousand, or 71.8%, to $517 thousand compared to $301 thousand in the three months ended March 31, 2025, primarily due to higher average cash and cash equivalent balances held in money market mutual funds during 2026 due to the receipt of proceeds from the Merger. Although interest rates may have fluctuated between periods, the increase in interest income was primarily driven by higher average cash balances in 2026 relative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6342" w:type="dxa"/>
        <w:jc w:val="left"/>
        <w:tblInd w:w="0" w:type="dxa"/>
        <w:tblLayout w:type="fixed"/>
        <w:tblCellMar>
          <w:top w:w="0" w:type="dxa"/>
          <w:left w:w="0" w:type="dxa"/>
          <w:bottom w:w="0" w:type="dxa"/>
          <w:right w:w="0" w:type="dxa"/>
        </w:tblCellMar>
      </w:tblPr>
      <w:tblGrid>
        <w:gridCol w:w="1565"/>
        <w:gridCol w:w="60"/>
        <w:gridCol w:w="240"/>
        <w:gridCol w:w="369"/>
        <w:gridCol w:w="163"/>
        <w:gridCol w:w="103"/>
        <w:gridCol w:w="240"/>
        <w:gridCol w:w="1092"/>
        <w:gridCol w:w="95"/>
        <w:gridCol w:w="60"/>
        <w:gridCol w:w="163"/>
        <w:gridCol w:w="652"/>
        <w:gridCol w:w="60"/>
        <w:gridCol w:w="60"/>
        <w:gridCol w:w="116"/>
        <w:gridCol w:w="999"/>
        <w:gridCol w:w="30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369" w:type="dxa"/>
            <w:tcBorders/>
            <w:shd w:fill="CCEEFF" w:val="clear"/>
            <w:vAlign w:val="center"/>
          </w:tcPr>
          <w:p>
            <w:pPr>
              <w:pStyle w:val="TableContents"/>
              <w:bidi w:val="0"/>
              <w:spacing w:before="0" w:after="283"/>
              <w:jc w:val="right"/>
              <w:rPr/>
            </w:pPr>
            <w:r>
              <w:rPr/>
              <w:t>(9</w:t>
            </w:r>
          </w:p>
        </w:tc>
        <w:tc>
          <w:tcPr>
            <w:tcW w:w="163"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92" w:type="dxa"/>
            <w:tcBorders/>
            <w:shd w:fill="CCEEFF" w:val="clear"/>
            <w:vAlign w:val="center"/>
          </w:tcPr>
          <w:p>
            <w:pPr>
              <w:pStyle w:val="TableContents"/>
              <w:bidi w:val="0"/>
              <w:spacing w:before="0" w:after="283"/>
              <w:jc w:val="right"/>
              <w:rPr/>
            </w:pPr>
            <w:r>
              <w:rPr/>
              <w:t>(1,614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(99.4</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March 31, 2026, decreased by $1,605 thousand, or 99.4%, to $9 thousand compared to $1,614 thousand in the three months ended March 31, 2025, related to the Company’s election to recognize our term loans (2024 LSA) and related interest costs under the fair value option starting in July 2025. As a result, $956 thousand of cash interest expense related to the 2024 LSA was recognized as a change in fair value of long-term debt rather than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w:t>
      </w:r>
    </w:p>
    <w:p>
      <w:pPr>
        <w:pStyle w:val="TextBody"/>
        <w:bidi w:val="0"/>
        <w:spacing w:before="0" w:after="0"/>
        <w:ind w:left="0" w:right="0" w:hanging="0"/>
        <w:jc w:val="left"/>
        <w:rPr>
          <w:caps w:val="false"/>
          <w:smallCaps w:val="false"/>
        </w:rPr>
      </w:pPr>
      <w:r>
        <w:rPr>
          <w:caps w:val="false"/>
          <w:smallCaps w:val="false"/>
        </w:rPr>
        <w:t> </w:t>
      </w:r>
    </w:p>
    <w:tbl>
      <w:tblPr>
        <w:tblW w:w="6302" w:type="dxa"/>
        <w:jc w:val="left"/>
        <w:tblInd w:w="0" w:type="dxa"/>
        <w:tblLayout w:type="fixed"/>
        <w:tblCellMar>
          <w:top w:w="0" w:type="dxa"/>
          <w:left w:w="0" w:type="dxa"/>
          <w:bottom w:w="0" w:type="dxa"/>
          <w:right w:w="0" w:type="dxa"/>
        </w:tblCellMar>
      </w:tblPr>
      <w:tblGrid>
        <w:gridCol w:w="1565"/>
        <w:gridCol w:w="60"/>
        <w:gridCol w:w="252"/>
        <w:gridCol w:w="820"/>
        <w:gridCol w:w="171"/>
        <w:gridCol w:w="108"/>
        <w:gridCol w:w="252"/>
        <w:gridCol w:w="604"/>
        <w:gridCol w:w="95"/>
        <w:gridCol w:w="60"/>
        <w:gridCol w:w="240"/>
        <w:gridCol w:w="575"/>
        <w:gridCol w:w="95"/>
        <w:gridCol w:w="60"/>
        <w:gridCol w:w="107"/>
        <w:gridCol w:w="1008"/>
        <w:gridCol w:w="230"/>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56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0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1"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(128</w:t>
            </w:r>
          </w:p>
        </w:tc>
        <w:tc>
          <w:tcPr>
            <w:tcW w:w="171"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575"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109.8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expense for the three months ended March 31, 2026, increased by </w:t>
      </w:r>
      <w:r>
        <w:rPr>
          <w:rFonts w:ascii="Times New Roman;Times;Serif" w:hAnsi="Times New Roman;Times;Serif"/>
          <w:b w:val="false"/>
          <w:i w:val="false"/>
          <w:caps w:val="false"/>
          <w:smallCaps w:val="false"/>
          <w:sz w:val="20"/>
          <w:shd w:fill="FFFFFF" w:val="clear"/>
        </w:rPr>
        <w:t>$67 thousand</w:t>
      </w:r>
      <w:r>
        <w:rPr>
          <w:rFonts w:ascii="Times New Roman;Times;Serif" w:hAnsi="Times New Roman;Times;Serif"/>
          <w:b w:val="false"/>
          <w:i w:val="false"/>
          <w:caps w:val="false"/>
          <w:smallCaps w:val="false"/>
          <w:sz w:val="20"/>
        </w:rPr>
        <w:t xml:space="preserve">, or 109.8%, to </w:t>
      </w:r>
      <w:r>
        <w:rPr>
          <w:rFonts w:ascii="Times New Roman;Times;Serif" w:hAnsi="Times New Roman;Times;Serif"/>
          <w:b w:val="false"/>
          <w:i w:val="false"/>
          <w:caps w:val="false"/>
          <w:smallCaps w:val="false"/>
          <w:sz w:val="20"/>
          <w:shd w:fill="FFFFFF" w:val="clear"/>
        </w:rPr>
        <w:t>$128 thousand</w:t>
      </w:r>
      <w:r>
        <w:rPr>
          <w:rFonts w:ascii="Times New Roman;Times;Serif" w:hAnsi="Times New Roman;Times;Serif"/>
          <w:b w:val="false"/>
          <w:i w:val="false"/>
          <w:caps w:val="false"/>
          <w:smallCaps w:val="false"/>
          <w:sz w:val="20"/>
        </w:rPr>
        <w:t xml:space="preserve"> compared to </w:t>
      </w:r>
      <w:r>
        <w:rPr>
          <w:rFonts w:ascii="Times New Roman;Times;Serif" w:hAnsi="Times New Roman;Times;Serif"/>
          <w:b w:val="false"/>
          <w:i w:val="false"/>
          <w:caps w:val="false"/>
          <w:smallCaps w:val="false"/>
          <w:sz w:val="20"/>
          <w:shd w:fill="FFFFFF" w:val="clear"/>
        </w:rPr>
        <w:t>$61 thousand</w:t>
      </w:r>
      <w:r>
        <w:rPr>
          <w:rFonts w:ascii="Times New Roman;Times;Serif" w:hAnsi="Times New Roman;Times;Serif"/>
          <w:b w:val="false"/>
          <w:i w:val="false"/>
          <w:caps w:val="false"/>
          <w:smallCaps w:val="false"/>
          <w:sz w:val="20"/>
        </w:rPr>
        <w:t xml:space="preserve"> in the three months ended March 31, 2025, primarily driven by an increase in foreign currency losses of $64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both"/>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3890"/>
        <w:gridCol w:w="60"/>
        <w:gridCol w:w="230"/>
        <w:gridCol w:w="1121"/>
        <w:gridCol w:w="98"/>
        <w:gridCol w:w="98"/>
        <w:gridCol w:w="230"/>
        <w:gridCol w:w="428"/>
        <w:gridCol w:w="60"/>
        <w:gridCol w:w="60"/>
        <w:gridCol w:w="140"/>
        <w:gridCol w:w="680"/>
        <w:gridCol w:w="60"/>
        <w:gridCol w:w="60"/>
        <w:gridCol w:w="243"/>
        <w:gridCol w:w="87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26,555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428"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N/M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for the three months ended March 31, 2026, resulted in an increased gain of $26,509 thousand to $26,555 thousand compared to $46 thousand in the three months ended March 31, 2025, primarily due to the issuance of liability classified warrants related to the Pre-PIPE Bridge, the Pre-Funded PIPE, the PIPE and the completion of the Merger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N/M -  Not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both"/>
        <w:rPr>
          <w:caps w:val="false"/>
          <w:smallCaps w:val="false"/>
        </w:rPr>
      </w:pPr>
      <w:r>
        <w:rPr>
          <w:caps w:val="false"/>
          <w:smallCaps w:val="false"/>
        </w:rPr>
        <w:t> </w:t>
      </w:r>
    </w:p>
    <w:tbl>
      <w:tblPr>
        <w:tblW w:w="9767" w:type="dxa"/>
        <w:jc w:val="left"/>
        <w:tblInd w:w="0" w:type="dxa"/>
        <w:tblLayout w:type="fixed"/>
        <w:tblCellMar>
          <w:top w:w="0" w:type="dxa"/>
          <w:left w:w="0" w:type="dxa"/>
          <w:bottom w:w="0" w:type="dxa"/>
          <w:right w:w="0" w:type="dxa"/>
        </w:tblCellMar>
      </w:tblPr>
      <w:tblGrid>
        <w:gridCol w:w="4985"/>
        <w:gridCol w:w="60"/>
        <w:gridCol w:w="213"/>
        <w:gridCol w:w="1150"/>
        <w:gridCol w:w="144"/>
        <w:gridCol w:w="91"/>
        <w:gridCol w:w="213"/>
        <w:gridCol w:w="396"/>
        <w:gridCol w:w="60"/>
        <w:gridCol w:w="60"/>
        <w:gridCol w:w="140"/>
        <w:gridCol w:w="755"/>
        <w:gridCol w:w="95"/>
        <w:gridCol w:w="60"/>
        <w:gridCol w:w="209"/>
        <w:gridCol w:w="906"/>
        <w:gridCol w:w="23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98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3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(87,824</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3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(87,824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for the three months ended March 31, 2026, increased to $87,824 thousand compared to the three months ended March 31, 2025, due to the issuance of convertible promissory notes related to the Pre-PIPE Bridge and the Pre-Funded PIPE and the completion of the Merger on March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Long-term Debt</w:t>
      </w:r>
    </w:p>
    <w:p>
      <w:pPr>
        <w:pStyle w:val="TextBody"/>
        <w:bidi w:val="0"/>
        <w:spacing w:before="0" w:after="0"/>
        <w:ind w:left="0" w:right="0" w:hanging="0"/>
        <w:jc w:val="both"/>
        <w:rPr>
          <w:caps w:val="false"/>
          <w:smallCaps w:val="false"/>
        </w:rPr>
      </w:pPr>
      <w:r>
        <w:rPr>
          <w:caps w:val="false"/>
          <w:smallCaps w:val="false"/>
        </w:rPr>
        <w:t> </w:t>
      </w:r>
    </w:p>
    <w:tbl>
      <w:tblPr>
        <w:tblW w:w="8352" w:type="dxa"/>
        <w:jc w:val="left"/>
        <w:tblInd w:w="0" w:type="dxa"/>
        <w:tblLayout w:type="fixed"/>
        <w:tblCellMar>
          <w:top w:w="0" w:type="dxa"/>
          <w:left w:w="0" w:type="dxa"/>
          <w:bottom w:w="0" w:type="dxa"/>
          <w:right w:w="0" w:type="dxa"/>
        </w:tblCellMar>
      </w:tblPr>
      <w:tblGrid>
        <w:gridCol w:w="3650"/>
        <w:gridCol w:w="60"/>
        <w:gridCol w:w="232"/>
        <w:gridCol w:w="1055"/>
        <w:gridCol w:w="157"/>
        <w:gridCol w:w="99"/>
        <w:gridCol w:w="232"/>
        <w:gridCol w:w="432"/>
        <w:gridCol w:w="60"/>
        <w:gridCol w:w="60"/>
        <w:gridCol w:w="147"/>
        <w:gridCol w:w="668"/>
        <w:gridCol w:w="95"/>
        <w:gridCol w:w="60"/>
        <w:gridCol w:w="209"/>
        <w:gridCol w:w="906"/>
        <w:gridCol w:w="23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23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Change in fair value of long-term debt</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(2,470</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change in fair value of long-term debt for the three months ended March 31, 2026, increased to $2,470 thousand compared to the three months ended March 31, 2025, due to the election of the fair value option for our amended term loans (2024 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both"/>
        <w:rPr>
          <w:caps w:val="false"/>
          <w:smallCaps w:val="false"/>
        </w:rPr>
      </w:pPr>
      <w:r>
        <w:rPr>
          <w:caps w:val="false"/>
          <w:smallCaps w:val="false"/>
        </w:rPr>
        <w:t> </w:t>
      </w:r>
    </w:p>
    <w:tbl>
      <w:tblPr>
        <w:tblW w:w="7066" w:type="dxa"/>
        <w:jc w:val="left"/>
        <w:tblInd w:w="0" w:type="dxa"/>
        <w:tblLayout w:type="fixed"/>
        <w:tblCellMar>
          <w:top w:w="0" w:type="dxa"/>
          <w:left w:w="0" w:type="dxa"/>
          <w:bottom w:w="0" w:type="dxa"/>
          <w:right w:w="0" w:type="dxa"/>
        </w:tblCellMar>
      </w:tblPr>
      <w:tblGrid>
        <w:gridCol w:w="2555"/>
        <w:gridCol w:w="60"/>
        <w:gridCol w:w="386"/>
        <w:gridCol w:w="718"/>
        <w:gridCol w:w="165"/>
        <w:gridCol w:w="165"/>
        <w:gridCol w:w="386"/>
        <w:gridCol w:w="386"/>
        <w:gridCol w:w="60"/>
        <w:gridCol w:w="60"/>
        <w:gridCol w:w="285"/>
        <w:gridCol w:w="530"/>
        <w:gridCol w:w="60"/>
        <w:gridCol w:w="60"/>
        <w:gridCol w:w="243"/>
        <w:gridCol w:w="872"/>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55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718" w:type="dxa"/>
            <w:tcBorders/>
            <w:shd w:fill="CCEEFF" w:val="clear"/>
            <w:vAlign w:val="center"/>
          </w:tcPr>
          <w:p>
            <w:pPr>
              <w:pStyle w:val="TableContents"/>
              <w:bidi w:val="0"/>
              <w:spacing w:before="0" w:after="283"/>
              <w:jc w:val="right"/>
              <w:rPr/>
            </w:pPr>
            <w:r>
              <w:rPr/>
              <w:t>48</w:t>
            </w:r>
          </w:p>
        </w:tc>
        <w:tc>
          <w:tcPr>
            <w:tcW w:w="16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pPr>
            <w:r>
              <w:rPr/>
              <w:t>$</w:t>
            </w:r>
          </w:p>
        </w:tc>
        <w:tc>
          <w:tcPr>
            <w:tcW w:w="386"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sz w:val="20"/>
              </w:rPr>
            </w:pPr>
            <w:r>
              <w:rPr>
                <w:sz w:val="20"/>
              </w:rPr>
              <w:t>N/M</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Provision for income tax expense for the three months ended March 31, 2026, increased by </w:t>
      </w:r>
      <w:r>
        <w:rPr>
          <w:rFonts w:ascii="Times New Roman;Times;Serif" w:hAnsi="Times New Roman;Times;Serif"/>
          <w:b w:val="false"/>
          <w:i w:val="false"/>
          <w:caps w:val="false"/>
          <w:smallCaps w:val="false"/>
          <w:sz w:val="20"/>
          <w:shd w:fill="FFFFFF" w:val="clear"/>
        </w:rPr>
        <w:t>$47 thousand</w:t>
      </w:r>
      <w:r>
        <w:rPr>
          <w:rFonts w:ascii="Times New Roman;Times;Serif" w:hAnsi="Times New Roman;Times;Serif"/>
          <w:b w:val="false"/>
          <w:i w:val="false"/>
          <w:caps w:val="false"/>
          <w:smallCaps w:val="false"/>
          <w:sz w:val="20"/>
        </w:rPr>
        <w:t xml:space="preserve"> to $48 thousand compared to $1 thousand in the three months ended March 31, 2025. This increase in provision for income taxes is primarily driven by an increase in foreign tax expenses for the Merlin Labs NZ Limited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stock-based compensation, equity-based compensation to non-employees, changes in fair value of warrant liabilities, changes in fair value of financial instruments accounted for at fair value, transaction and merger-related costs, and other non-cash items. Changes in fair value of warrant liabilities reflect periodic mark-to-market adjustments that will recur each reporting period as long as warrants remain outstanding and are excluded because they are non-cash and not reflective of our core operating performance. Changes in fair value of convertible promissory notes and long-term debt relate to instruments settled in connection with the Merger are excluded because they are not expected to recur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of these non-GAAP financial measures provide additional metrics to evaluate our operations and, when considered with both our U.S. GAAP results and the reconciliation to the closest comparable U.S. GAAP measures, provide a more complete understanding of our business than could be obtained absent this disclosure. We use the non-GAAP financial measures, together with U.S. GAAP financial measures, such as net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Our non-GAAP financial measures may not be comparable to similarly titled measures in other organizations because other organizations may not calculate non-GAAP financial measures in the same manner as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EBITDA and Adjusted EBITDA to net loss, the most directly comparable financial measure presented in accordance with U.S. GAAP.</w:t>
      </w:r>
    </w:p>
    <w:p>
      <w:pPr>
        <w:pStyle w:val="TextBody"/>
        <w:bidi w:val="0"/>
        <w:spacing w:before="0" w:after="0"/>
        <w:ind w:left="0" w:right="0" w:hanging="0"/>
        <w:jc w:val="both"/>
        <w:rPr>
          <w:caps w:val="false"/>
          <w:smallCaps w:val="false"/>
        </w:rPr>
      </w:pPr>
      <w:r>
        <w:rPr>
          <w:caps w:val="false"/>
          <w:smallCaps w:val="false"/>
        </w:rPr>
        <w:t> </w:t>
      </w:r>
    </w:p>
    <w:tbl>
      <w:tblPr>
        <w:tblW w:w="7362" w:type="dxa"/>
        <w:jc w:val="left"/>
        <w:tblInd w:w="0" w:type="dxa"/>
        <w:tblLayout w:type="fixed"/>
        <w:tblCellMar>
          <w:top w:w="0" w:type="dxa"/>
          <w:left w:w="0" w:type="dxa"/>
          <w:bottom w:w="0" w:type="dxa"/>
          <w:right w:w="0" w:type="dxa"/>
        </w:tblCellMar>
      </w:tblPr>
      <w:tblGrid>
        <w:gridCol w:w="4985"/>
        <w:gridCol w:w="60"/>
        <w:gridCol w:w="159"/>
        <w:gridCol w:w="857"/>
        <w:gridCol w:w="107"/>
        <w:gridCol w:w="68"/>
        <w:gridCol w:w="159"/>
        <w:gridCol w:w="857"/>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110" w:type="dxa"/>
            <w:tcBorders/>
            <w:vAlign w:val="center"/>
          </w:tcPr>
          <w:p>
            <w:pPr>
              <w:pStyle w:val="TableContents"/>
              <w:bidi w:val="0"/>
              <w:spacing w:before="0" w:after="283"/>
              <w:jc w:val="left"/>
              <w:rPr/>
            </w:pPr>
            <w:r>
              <w:rPr/>
              <w:t> </w:t>
            </w:r>
          </w:p>
        </w:tc>
      </w:tr>
      <w:tr>
        <w:trPr/>
        <w:tc>
          <w:tcPr>
            <w:tcW w:w="498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(90,419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(12,733</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417</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381</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209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(517</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(301</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1,614</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EBITDA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(90,253</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(10,855</w:t>
            </w:r>
          </w:p>
        </w:tc>
        <w:tc>
          <w:tcPr>
            <w:tcW w:w="110" w:type="dxa"/>
            <w:tcBorders/>
            <w:shd w:fill="CCEEFF" w:val="clear"/>
            <w:vAlign w:val="center"/>
          </w:tcPr>
          <w:p>
            <w:pPr>
              <w:pStyle w:val="TableContents"/>
              <w:bidi w:val="0"/>
              <w:spacing w:before="0" w:after="283"/>
              <w:jc w:val="left"/>
              <w:rPr/>
            </w:pPr>
            <w:r>
              <w:rPr/>
              <w:t>)</w:t>
            </w:r>
          </w:p>
        </w:tc>
      </w:tr>
      <w:tr>
        <w:trPr/>
        <w:tc>
          <w:tcPr>
            <w:tcW w:w="49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1,295</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513</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Equity-based payments to non-employees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643</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(26,555</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87,824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Change in fair value of long-term debt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2,470</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1,236</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(23,340</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(10,388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issued 8,000,000 shares of common stock and warrants to purchase 4,000,000 shares of common stock in a private placement for aggregate gross proceeds of approximately $80.0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847" w:type="dxa"/>
        <w:jc w:val="left"/>
        <w:tblInd w:w="0" w:type="dxa"/>
        <w:tblLayout w:type="fixed"/>
        <w:tblCellMar>
          <w:top w:w="0" w:type="dxa"/>
          <w:left w:w="0" w:type="dxa"/>
          <w:bottom w:w="0" w:type="dxa"/>
          <w:right w:w="0" w:type="dxa"/>
        </w:tblCellMar>
      </w:tblPr>
      <w:tblGrid>
        <w:gridCol w:w="4955"/>
        <w:gridCol w:w="60"/>
        <w:gridCol w:w="159"/>
        <w:gridCol w:w="857"/>
        <w:gridCol w:w="107"/>
        <w:gridCol w:w="68"/>
        <w:gridCol w:w="159"/>
        <w:gridCol w:w="857"/>
        <w:gridCol w:w="95"/>
        <w:gridCol w:w="60"/>
        <w:gridCol w:w="140"/>
        <w:gridCol w:w="755"/>
        <w:gridCol w:w="95"/>
        <w:gridCol w:w="60"/>
        <w:gridCol w:w="96"/>
        <w:gridCol w:w="1019"/>
        <w:gridCol w:w="30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955" w:type="dxa"/>
            <w:tcBorders>
              <w:bottom w:val="single" w:sz="12"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Change</w:t>
            </w:r>
          </w:p>
        </w:tc>
        <w:tc>
          <w:tcPr>
            <w:tcW w:w="30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Net cash (used in) provided by:</w:t>
            </w:r>
          </w:p>
        </w:tc>
        <w:tc>
          <w:tcPr>
            <w:tcW w:w="60"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(23,644</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(13,081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81</w:t>
            </w:r>
          </w:p>
        </w:tc>
        <w:tc>
          <w:tcPr>
            <w:tcW w:w="305"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(2,159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2633</w:t>
            </w:r>
          </w:p>
        </w:tc>
        <w:tc>
          <w:tcPr>
            <w:tcW w:w="305"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91,806</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CCEEFF" w:val="clear"/>
            <w:tcMar>
              <w:bottom w:w="28" w:type="dxa"/>
            </w:tcMar>
            <w:vAlign w:val="center"/>
          </w:tcPr>
          <w:p>
            <w:pPr>
              <w:pStyle w:val="TableContents"/>
              <w:bidi w:val="0"/>
              <w:spacing w:before="0" w:after="283"/>
              <w:jc w:val="right"/>
              <w:rPr/>
            </w:pPr>
            <w:r>
              <w:rPr/>
              <w:t>(1,547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93,353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(6,034</w:t>
            </w:r>
          </w:p>
        </w:tc>
        <w:tc>
          <w:tcPr>
            <w:tcW w:w="305"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66,003</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FFFFFF" w:val="clear"/>
            <w:tcMar>
              <w:bottom w:w="28" w:type="dxa"/>
            </w:tcMar>
            <w:vAlign w:val="center"/>
          </w:tcPr>
          <w:p>
            <w:pPr>
              <w:pStyle w:val="TableContents"/>
              <w:bidi w:val="0"/>
              <w:spacing w:before="0" w:after="283"/>
              <w:jc w:val="right"/>
              <w:rPr/>
            </w:pPr>
            <w:r>
              <w:rPr/>
              <w:t>(14,707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80,710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pPr>
            <w:r>
              <w:rPr/>
              <w:t>(549</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three months ended March 31, 2026, was $23,644 thousand, an increase of $10,563 thousand from net cash used in operating activities of $13,081 thousand for the three months ended March 31, 2025. The change in cash used in operations was primarily due to an increase in net loss of $77,686 thousand, a change in non-cash interest expense of $360 thousand, a decrease in change in fair value of warrant liabilities of $26,509 thousand, a change in accounts receivable of $942 thousand, a change in prepaid expenses and other current assets of $1,738 thousand, and an increase in contract loss provision amortization of $2,763 thousand. These changes are offset by an increase in change in fair value of convertible promissory notes of $87,824 thousand, and changes in accounts payable and accrued expenses of $4,035 thousand and $3,253 thousand,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investing activities for the three months ended March 31, 2026, was </w:t>
      </w:r>
      <w:r>
        <w:rPr>
          <w:rFonts w:ascii="Times New Roman;Times;Serif" w:hAnsi="Times New Roman;Times;Serif"/>
          <w:b w:val="false"/>
          <w:i w:val="false"/>
          <w:caps w:val="false"/>
          <w:smallCaps w:val="false"/>
          <w:sz w:val="20"/>
          <w:shd w:fill="FFFFFF" w:val="clear"/>
        </w:rPr>
        <w:t>$2,159 thousand</w:t>
      </w:r>
      <w:r>
        <w:rPr>
          <w:rFonts w:ascii="Times New Roman;Times;Serif" w:hAnsi="Times New Roman;Times;Serif"/>
          <w:b w:val="false"/>
          <w:i w:val="false"/>
          <w:caps w:val="false"/>
          <w:smallCaps w:val="false"/>
          <w:sz w:val="20"/>
        </w:rPr>
        <w:t xml:space="preserve">, an increase of </w:t>
      </w:r>
      <w:r>
        <w:rPr>
          <w:rFonts w:ascii="Times New Roman;Times;Serif" w:hAnsi="Times New Roman;Times;Serif"/>
          <w:b w:val="false"/>
          <w:i w:val="false"/>
          <w:caps w:val="false"/>
          <w:smallCaps w:val="false"/>
          <w:sz w:val="20"/>
          <w:shd w:fill="FFFFFF" w:val="clear"/>
        </w:rPr>
        <w:t>$2,080 thousand</w:t>
      </w:r>
      <w:r>
        <w:rPr>
          <w:rFonts w:ascii="Times New Roman;Times;Serif" w:hAnsi="Times New Roman;Times;Serif"/>
          <w:b w:val="false"/>
          <w:i w:val="false"/>
          <w:caps w:val="false"/>
          <w:smallCaps w:val="false"/>
          <w:sz w:val="20"/>
        </w:rPr>
        <w:t xml:space="preserve"> from net cash used in investing activities of </w:t>
      </w:r>
      <w:r>
        <w:rPr>
          <w:rFonts w:ascii="Times New Roman;Times;Serif" w:hAnsi="Times New Roman;Times;Serif"/>
          <w:b w:val="false"/>
          <w:i w:val="false"/>
          <w:caps w:val="false"/>
          <w:smallCaps w:val="false"/>
          <w:sz w:val="20"/>
          <w:shd w:fill="FFFFFF" w:val="clear"/>
        </w:rPr>
        <w:t>$79 thousand</w:t>
      </w:r>
      <w:r>
        <w:rPr>
          <w:rFonts w:ascii="Times New Roman;Times;Serif" w:hAnsi="Times New Roman;Times;Serif"/>
          <w:b w:val="false"/>
          <w:i w:val="false"/>
          <w:caps w:val="false"/>
          <w:smallCaps w:val="false"/>
          <w:sz w:val="20"/>
        </w:rPr>
        <w:t xml:space="preserve"> for the three months ended March 31, 2025. The change in cash used in investing activities was primarily due to an increase in acquired property and equipment of $2,065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provided by financing activities for the three months ended March 31, 2026, was </w:t>
      </w:r>
      <w:r>
        <w:rPr>
          <w:rFonts w:ascii="Times New Roman;Times;Serif" w:hAnsi="Times New Roman;Times;Serif"/>
          <w:b w:val="false"/>
          <w:i w:val="false"/>
          <w:caps w:val="false"/>
          <w:smallCaps w:val="false"/>
          <w:sz w:val="20"/>
          <w:shd w:fill="FFFFFF" w:val="clear"/>
        </w:rPr>
        <w:t>$91,806 thousand</w:t>
      </w:r>
      <w:r>
        <w:rPr>
          <w:rFonts w:ascii="Times New Roman;Times;Serif" w:hAnsi="Times New Roman;Times;Serif"/>
          <w:b w:val="false"/>
          <w:i w:val="false"/>
          <w:caps w:val="false"/>
          <w:smallCaps w:val="false"/>
          <w:sz w:val="20"/>
        </w:rPr>
        <w:t xml:space="preserve">, an increase of </w:t>
      </w:r>
      <w:r>
        <w:rPr>
          <w:rFonts w:ascii="Times New Roman;Times;Serif" w:hAnsi="Times New Roman;Times;Serif"/>
          <w:b w:val="false"/>
          <w:i w:val="false"/>
          <w:caps w:val="false"/>
          <w:smallCaps w:val="false"/>
          <w:sz w:val="20"/>
          <w:shd w:fill="FFFFFF" w:val="clear"/>
        </w:rPr>
        <w:t>$93,353 thousand</w:t>
      </w:r>
      <w:r>
        <w:rPr>
          <w:rFonts w:ascii="Times New Roman;Times;Serif" w:hAnsi="Times New Roman;Times;Serif"/>
          <w:b w:val="false"/>
          <w:i w:val="false"/>
          <w:caps w:val="false"/>
          <w:smallCaps w:val="false"/>
          <w:sz w:val="20"/>
        </w:rPr>
        <w:t xml:space="preserve"> from net cash used in financing activities of </w:t>
      </w:r>
      <w:r>
        <w:rPr>
          <w:rFonts w:ascii="Times New Roman;Times;Serif" w:hAnsi="Times New Roman;Times;Serif"/>
          <w:b w:val="false"/>
          <w:i w:val="false"/>
          <w:caps w:val="false"/>
          <w:smallCaps w:val="false"/>
          <w:sz w:val="20"/>
          <w:shd w:fill="FFFFFF" w:val="clear"/>
        </w:rPr>
        <w:t>$1,547 thousand</w:t>
      </w:r>
      <w:r>
        <w:rPr>
          <w:rFonts w:ascii="Times New Roman;Times;Serif" w:hAnsi="Times New Roman;Times;Serif"/>
          <w:b w:val="false"/>
          <w:i w:val="false"/>
          <w:caps w:val="false"/>
          <w:smallCaps w:val="false"/>
          <w:sz w:val="20"/>
        </w:rPr>
        <w:t xml:space="preserve"> for the three months ended March 31,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$32,082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 for Known Contractual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no debt obligations, as we paid off the principal amount outstanding of our PGF Loan, our Term Loan (LSA 2021), and our Term Loan (LSA 2024). As of March 31, 2026, restricted cash of $2,569 thousand consists of deposits held at financial institutions that are used to collateralize irrevocable letters of credit required under the Company’s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debt obligations are comprised of our PGF Loan with a principal amount of $660 thousand due in 2032, $500 thousand principal amount outstanding under our Term Loan (LSA 2021) that matured in July 2025, and $35,000 thousand principal amount outstanding under our Term Loan (LSA 2024) that was set to mature in January 2027. During the three months ended March 31, 2025, we repaid $250 thousand and $1,307 thousand in principal amount of our Term Loan (LSA 2021) and Term Loan (LSA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our non-cancelable operating lease commitments are $2,419 thousand and $988 thousand, respectively, of which $977 thousand and $657 thousand, respectively, are due in less than one year. Our operating leases relate to our office space, aircraft, motor vehicles, and airport hangar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are prepared in conformity with accounting principles generally accepted in the United States (“U.S.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significant changes in our critical accounting estimates during the three months ended March 31, 2026, as compared to the critical accounting policies and estimates disclosed in Management’s Discussion and Analysis of Financial Condition and Results of Operations included in our Form 8-K dated and filed with the SEC on March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Status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val="false"/>
          <w:i/>
          <w:caps w:val="false"/>
          <w:smallCaps w:val="false"/>
          <w:sz w:val="20"/>
        </w:rPr>
        <w:t>Summary of Significant Accounting Policies</w:t>
      </w:r>
      <w:r>
        <w:rPr>
          <w:rFonts w:ascii="Times New Roman;Times;Serif" w:hAnsi="Times New Roman;Times;Serif"/>
          <w:b w:val="false"/>
          <w:i w:val="false"/>
          <w:caps w:val="false"/>
          <w:smallCaps w:val="false"/>
          <w:sz w:val="20"/>
        </w:rPr>
        <w:t xml:space="preserve"> 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with the participation of our Chief Executive Officer and Chief Financial Officer, evaluated the effectiveness of our disclosure controls and procedures (as defined in Rules 13a-15(e) and 15d-15(e) under the Exchange Act) as of March 31,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our Chief Executive Officer and Chief Financial Officer concluded that our disclosure controls and procedures were not effective at the reasonable assurance level as of March 31, 2026 due to the material weaknesses in our internal control over financial reporting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we identified the following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did not maintain effective controls relating to segregation of duties and the design of review controls operating at a sufficient level of precision, including controls over period-end financial close and non-routine or complex transactions;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Remediation Plan and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engaged in remediating the material weaknesses described above. The following actions have been taken or are in progress as of the date of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Personnel and training: We have hired and continue to hire personnel with public company accounting experience and are providing targeted training on internal control requirements, complex transaction accounting, and financial reporting obligations.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Segregation of duties: We have begun to implement processes and controls to better identify and manage segregation of duties risks within our accounting and financial reporting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Systems and automation: We are evaluating system enhancements to reduce our reliance on manual processes in key areas of our financial close and reporting process.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rFonts w:ascii="Times New Roman;Times;Serif" w:hAnsi="Times New Roman;Times;Serif"/>
                <w:b w:val="false"/>
              </w:rPr>
              <w:t>External advisor engagement: We have engaged an external advisor to assist with evaluating and documenting the design and o</w:t>
            </w:r>
            <w:r>
              <w:rPr>
                <w:b w:val="false"/>
              </w:rPr>
              <w:t>perating effectiveness of our internal controls and to assist with remediation of identified deficiencies.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efforts described above under “Material Weaknesses in Internal Control over Financial Reporting” and “Remediation Plan and Status”, there were no changes in our internal control over financial reporting that occurred during the quarter ended March 31,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06"/>
      <w:bookmarkEnd w:id="12"/>
      <w:r>
        <w:rPr>
          <w:rFonts w:ascii="Times New Roman;Times;Serif" w:hAnsi="Times New Roman;Times;Serif"/>
          <w:b/>
          <w:i w:val="false"/>
          <w:caps/>
          <w:sz w:val="20"/>
        </w:rPr>
        <w:t>PART II – OTHER INFORMATION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I “Financial Statements (Unaudited) – Note 14, Commitments and Contingencies, in this Quarterly Report,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remediate these material weaknesses, we have taken and plan to take the following 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Personnel and training: We have hired and continue to hire personnel with public company accounting experience and are providing targeted training on internal control requirements, complex transaction accounting, and financial reporting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Segregation of duties: We have begun to implement processes and controls to better identify and manage segregation of duties risks within our accounting and financial reporting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Systems and automation: We are evaluating system enhancements to reduce our reliance on manual processes in key areas of our financial close and reporting process.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External advisor engagement: We have engaged an external advisor to assist with evaluating and documenting the design and operating effectiveness of our internal controls and to assist with remediation of identified deficiencies.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09"/>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the Company’s Current Report on Form 8-K filed on March 20, 2026, the Company has not sold equity securities in a transaction that is not registered under the Securities Act during the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2024, Inflection Point Acquisition Corp. IV consummated an initial public offering (the “IPO”) of 25,000,000 units, each consisting of one Class A ordinary share, $0.0001 par value, and one right to receive one-tenth of one Class A ordinary share upon the consummation of an initial business combination (the “Units”). The Units sold in the IPO were sold at an offering price of $10.00 per Unit, generating gross proceeds of $250,000,000. Cohen Capital Markets acted as underwriter of the Initial Public Offering. The securities in the offering were registered under the Securities Act on a registration statement on Form S-1 (No. 333-280777). The SEC declared the registration statement effective on October 31, 2024. The funds from the IPO were used as consideration for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0"/>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1"/>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2"/>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Disclosure in lieu of reporting on a Current Report on Form 8-K.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Material changes to the procedures by which security holders may recommend nominees to the board of directors.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Insider trading arrangements and policies.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During the three months ended March 31, 2026, no director or officer of the Company adopted or terminated any “Rule 10b5-1 trading arrangement” or “non-Rule 10b5-1 trading arrangement” (as such terms are defined in Item 408(a) of Regulation S-K).</w:t>
      </w:r>
    </w:p>
    <w:p>
      <w:pPr>
        <w:pStyle w:val="TextBody"/>
        <w:bidi w:val="0"/>
        <w:spacing w:before="0" w:after="0"/>
        <w:ind w:left="490" w:right="0" w:hanging="0"/>
        <w:jc w:val="left"/>
        <w:rPr>
          <w:caps w:val="false"/>
          <w:smallCaps w:val="false"/>
        </w:rPr>
      </w:pPr>
      <w:r>
        <w:rPr>
          <w:caps w:val="false"/>
          <w:smallCaps w:val="false"/>
        </w:rPr>
        <w:t> </w:t>
      </w:r>
    </w:p>
    <w:p>
      <w:pPr>
        <w:pStyle w:val="TextBody"/>
        <w:bidi w:val="0"/>
        <w:spacing w:before="0" w:after="0"/>
        <w:ind w:left="49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4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3"/>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8"/>
        <w:gridCol w:w="60"/>
        <w:gridCol w:w="9377"/>
      </w:tblGrid>
      <w:tr>
        <w:trPr/>
        <w:tc>
          <w:tcPr>
            <w:tcW w:w="7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77"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"https://www.sec.gov/Archives/edgar/data/2028707/000121390026013897/ea0258163-05.htm" \l "T882"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dated as of August 13, 2025, by and among Bleichroeder Acquisition Corp. I, IPDX Merger Sub, Inc., and Merlin Labs, Inc (incorporated by reference to Exhibit 2.1 to Amendment No. 3 to the Registration Statement on Form S-4 (File No. 333-292719) filed February 12, 2026).</w:t>
            </w:r>
            <w:r>
              <w:rPr>
                <w:rStyle w:val="InternetLink"/>
                <w:sz w:val="20"/>
                <w:rFonts w:ascii="Times New Roman;Times;Serif" w:hAnsi="Times New Roman;Times;Serif"/>
              </w:rPr>
              <w:fldChar w:fldCharType="end"/>
            </w:r>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Amendment No. 1 to Business Combination Agreement, dated as of March 14, 2026, by and between Bleichroeder Acquisition Corp. I (now known as Merlin, Inc.) and Merlin Labs, Inc. (incorporated by reference to Exhibit 2.2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Plan of Domestication (incorporated by reference to Exhibit 2.2 to Amendment No. 3 to the Registration Statement on Form S-4 (File No. 333-292719) filed February 12,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Certificate of Merger of Merlin Labs, Inc. with and into IPDX Merger Sub, Inc. (incorporated by reference to Exhibit 2.4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Certificate of Corporate Domestication (incorporated by reference to Exhibit 3.1 filed with the Company’s Current Report on Form 8-K (File No. 001-42392) filed March 20,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Certificate of Incorporation of Merlin, Inc. (incorporated by reference to Exhibit 3.2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Bylaws of Merlin, Inc. (incorporated by reference to Exhibit 3.3 filed with the Company’s Current Report on Form 8-K (File No. 001-42392) filed March 20,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Certificate of Designation of Preferences, Rights and Limitations of 12.0% Series A Cumulative Convertible Preferred Stock (incorporated by reference to Exhibit 3.4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Specimen Common Stock Certificate of Merlin, Inc. (incorporated by reference to Exhibit 4.5 to Amendment No. 3 to the Registration Statement on Form S-4 (File No. 333-292719) filed February 12,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Specimen Series A Preferred Stock of Merlin, Inc. (incorporated by reference to Exhibit 4.2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Specimen Common Stock Purchase Warrant of Merlin, Inc. (incorporated by reference to Exhibit 4.6 to Amendment No. 3 to the Registration Statement on Form S-4 (File No. 333-292719) filed February 12,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Indemnification Agreements, dated March 16, 2026 between Merlin, Inc. and each of its officers and directors (incorporated by reference to Exhibit 10.1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Sponsor Lock-Up Agreement, dated March 16, 2026, by and among Merlin, Inc., Bleichroeder Sponsor 1 LLC, a Cayman Islands limited liability company, and any additional party thereto (incorporated by reference to Exhibit 10.2 filed with the Company’s Current Report on Form 8-K (File No. 001-42392) filed March 20,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Lock-Up Agreement, dated March 16, 2026, by and among Merlin, Inc. and the Merlin Lock-Up Holders listed on Schedule I thereto (incorporated by reference to Exhibit 10.3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Amended and Restated Registration Rights Agreement, dated March 16, 2026, by and among Merlin, Inc. and each of the shareholders of Merlin, Inc. identified on the signature pages thereto (incorporated by reference to Exhibit 10.4 filed with the Company’s Current Report on Form 8-K (File No. 001-42392) filed March 20, 2026).</w:t>
              </w:r>
            </w:hyperlink>
          </w:p>
        </w:tc>
      </w:tr>
      <w:tr>
        <w:trPr/>
        <w:tc>
          <w:tcPr>
            <w:tcW w:w="7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7"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Merlin, Inc. 2026 Incentive Award Plan (incorporated by reference to Exhibit 10.5 filed with the Company’s Current Report on Form 8-K (File No. 001-42392) filed March 20, 2026).</w:t>
              </w:r>
            </w:hyperlink>
          </w:p>
        </w:tc>
      </w:tr>
      <w:tr>
        <w:trPr/>
        <w:tc>
          <w:tcPr>
            <w:tcW w:w="7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7"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Form of Stock Option Grant Notice and Stock Option Agreement under the Merlin, Inc. 2026 Incentive Award Plan (incorporated by reference to Exhibit 10.6 filed with the Company’s Current Report on Form 8-K (File No. 001-42392) filed March 20, 2026).</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12"/>
        <w:gridCol w:w="60"/>
        <w:gridCol w:w="9533"/>
      </w:tblGrid>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Form of Restricted Stock Unit Grant Notice and Restricted Stock Unit Agreement under the Merlin, Inc. 2026 Incentive Award Plan (incorporated by reference to Exhibit 10.7 filed with the Company’s Current Report on Form 8-K (File No. 001-42392) filed March 20, 2026).</w:t>
              </w:r>
            </w:hyperlink>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pPr>
            <w:hyperlink r:id="rId20">
              <w:r>
                <w:rPr>
                  <w:rStyle w:val="InternetLink"/>
                  <w:rFonts w:ascii="Times New Roman;Times;Serif" w:hAnsi="Times New Roman;Times;Serif"/>
                  <w:sz w:val="20"/>
                </w:rPr>
                <w:t>Merlin, Inc. 2026 Employee Stock Purchase Plan (incorporated by reference to Exhibit 10.8 filed with the Company’s Current Report on Form 8-K (File No. 001-42392) filed March 20, 2026).</w:t>
              </w:r>
            </w:hyperlink>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Merlin, Inc. 2018 Equity Incentive Plan (incorporated by reference to Exhibit 10.9 filed with the Company’s Current Report on Form 8-K (File No. 001-42392) filed March 20, 2026).</w:t>
              </w:r>
            </w:hyperlink>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pPr>
            <w:hyperlink r:id="rId22">
              <w:r>
                <w:rPr>
                  <w:rStyle w:val="InternetLink"/>
                  <w:rFonts w:ascii="Times New Roman;Times;Serif" w:hAnsi="Times New Roman;Times;Serif"/>
                  <w:sz w:val="20"/>
                </w:rPr>
                <w:t>Form of Stock Option Grant Notice and Stock Option Agreement under the 2018 Equity Incentive Plan (incorporated by reference to Exhibit 10.10 filed with the Company’s Current Report on Form 8-K (File No. 001-42392) filed March 20, 2026).</w:t>
              </w:r>
            </w:hyperlink>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Merlin, Inc. Executive Severance Plan (incorporated by reference to Exhibit 10.11 filed with the Company’s Current Report on Form 8-K (File No. 001-42392) filed March 20, 2026).</w:t>
              </w:r>
            </w:hyperlink>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pPr>
            <w:hyperlink r:id="rId24">
              <w:r>
                <w:rPr>
                  <w:rStyle w:val="InternetLink"/>
                  <w:rFonts w:ascii="Times New Roman;Times;Serif" w:hAnsi="Times New Roman;Times;Serif"/>
                  <w:sz w:val="20"/>
                </w:rPr>
                <w:t>Merlin, Inc. Non-Employee Director Compensation Program (incorporated by reference to Exhibit 10.12 filed with the Company’s Current Report on Form 8-K (File No. 001-42392) filed March 20, 2026).</w:t>
              </w:r>
            </w:hyperlink>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Certification of Principal Executive Officer Pursuant to Rules 13a-14(a) and 15d-14(a) under the Securities Exchange Act of 1934, as Adopted Pursuant to Section 302 of the Sarbanes-Oxley Act of 2002.</w:t>
              </w:r>
            </w:hyperlink>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pPr>
            <w:hyperlink r:id="rId26">
              <w:r>
                <w:rPr>
                  <w:rStyle w:val="InternetLink"/>
                  <w:rFonts w:ascii="Times New Roman;Times;Serif" w:hAnsi="Times New Roman;Times;Serif"/>
                  <w:sz w:val="20"/>
                </w:rPr>
                <w:t>Certification of Principal Financial Officer Pursuant to Rules 13a-14(a) and 15d-14(a) under the Securities Exchange Act of 1934, as Adopted Pursuant to Section 302 of the Sarbanes-Oxley Act of 2002.</w:t>
              </w:r>
            </w:hyperlink>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Certification of Principal Executive Officer Pursuant to 18 U.S.C. Section 1350, as Adopted Pursuant to Section 906 of the Sarbanes-Oxley Act of 2002.</w:t>
              </w:r>
            </w:hyperlink>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pPr>
            <w:hyperlink r:id="rId28">
              <w:r>
                <w:rPr>
                  <w:rStyle w:val="InternetLink"/>
                  <w:rFonts w:ascii="Times New Roman;Times;Serif" w:hAnsi="Times New Roman;Times;Serif"/>
                  <w:sz w:val="20"/>
                </w:rPr>
                <w:t>Certification of Principal Financial Officer Pursuant to 18 U.S.C. Section 1350, as Adopted Pursuant to Section 906 of the Sarbanes-Oxley Act of 2002.</w:t>
              </w:r>
            </w:hyperlink>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26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4"/>
      <w:bookmarkEnd w:id="20"/>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1655"/>
        <w:gridCol w:w="320"/>
        <w:gridCol w:w="3500"/>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George</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George</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Carrithers</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Carrithers</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&amp; Accounting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28707/000121390026032329/ea028257401ex2-2.htm" TargetMode="External"/><Relationship Id="rId4" Type="http://schemas.openxmlformats.org/officeDocument/2006/relationships/hyperlink" Target="https://www.sec.gov/Archives/edgar/data/2028707/000121390026013897/ea025816305ex2-2_inflect4.htm" TargetMode="External"/><Relationship Id="rId5" Type="http://schemas.openxmlformats.org/officeDocument/2006/relationships/hyperlink" Target="https://www.sec.gov/Archives/edgar/data/2028707/000121390026032329/ea028257401ex2-4.htm" TargetMode="External"/><Relationship Id="rId6" Type="http://schemas.openxmlformats.org/officeDocument/2006/relationships/hyperlink" Target="https://www.sec.gov/Archives/edgar/data/2028707/000121390026032329/ea028257401ex3-1.htm" TargetMode="External"/><Relationship Id="rId7" Type="http://schemas.openxmlformats.org/officeDocument/2006/relationships/hyperlink" Target="https://www.sec.gov/Archives/edgar/data/2028707/000121390026032329/ea028257401ex3-2.htm" TargetMode="External"/><Relationship Id="rId8" Type="http://schemas.openxmlformats.org/officeDocument/2006/relationships/hyperlink" Target="https://www.sec.gov/Archives/edgar/data/2028707/000121390026032329/ea028257401ex3-3.htm" TargetMode="External"/><Relationship Id="rId9" Type="http://schemas.openxmlformats.org/officeDocument/2006/relationships/hyperlink" Target="https://www.sec.gov/Archives/edgar/data/2028707/000121390026032329/ea028257401ex3-4.htm" TargetMode="External"/><Relationship Id="rId10" Type="http://schemas.openxmlformats.org/officeDocument/2006/relationships/hyperlink" Target="https://www.sec.gov/Archives/edgar/data/2028707/000121390026013897/ea025816305ex4-5_inflect4.htm" TargetMode="External"/><Relationship Id="rId11" Type="http://schemas.openxmlformats.org/officeDocument/2006/relationships/hyperlink" Target="https://www.sec.gov/Archives/edgar/data/2028707/000121390026032329/ea028257401ex4-2.htm" TargetMode="External"/><Relationship Id="rId12" Type="http://schemas.openxmlformats.org/officeDocument/2006/relationships/hyperlink" Target="https://www.sec.gov/Archives/edgar/data/2028707/000121390026013897/ea025816305ex4-6_inflect4.htm" TargetMode="External"/><Relationship Id="rId13" Type="http://schemas.openxmlformats.org/officeDocument/2006/relationships/hyperlink" Target="https://www.sec.gov/Archives/edgar/data/2028707/000121390026032329/ea028257401ex10-1.htm" TargetMode="External"/><Relationship Id="rId14" Type="http://schemas.openxmlformats.org/officeDocument/2006/relationships/hyperlink" Target="https://www.sec.gov/Archives/edgar/data/2028707/000121390026032329/ea028257401ex10-2.htm" TargetMode="External"/><Relationship Id="rId15" Type="http://schemas.openxmlformats.org/officeDocument/2006/relationships/hyperlink" Target="https://www.sec.gov/Archives/edgar/data/2028707/000121390026032329/ea028257401ex10-3.htm" TargetMode="External"/><Relationship Id="rId16" Type="http://schemas.openxmlformats.org/officeDocument/2006/relationships/hyperlink" Target="https://www.sec.gov/Archives/edgar/data/2028707/000121390026032329/ea028257401ex10-4.htm" TargetMode="External"/><Relationship Id="rId17" Type="http://schemas.openxmlformats.org/officeDocument/2006/relationships/hyperlink" Target="https://www.sec.gov/Archives/edgar/data/2028707/000121390026032329/ea028257401ex10-5.htm" TargetMode="External"/><Relationship Id="rId18" Type="http://schemas.openxmlformats.org/officeDocument/2006/relationships/hyperlink" Target="https://www.sec.gov/Archives/edgar/data/2028707/000121390026032329/ea028257401ex10-6.htm" TargetMode="External"/><Relationship Id="rId19" Type="http://schemas.openxmlformats.org/officeDocument/2006/relationships/hyperlink" Target="https://www.sec.gov/Archives/edgar/data/2028707/000121390026032329/ea028257401ex10-7.htm" TargetMode="External"/><Relationship Id="rId20" Type="http://schemas.openxmlformats.org/officeDocument/2006/relationships/hyperlink" Target="https://www.sec.gov/Archives/edgar/data/2028707/000121390026032329/ea028257401ex10-8.htm" TargetMode="External"/><Relationship Id="rId21" Type="http://schemas.openxmlformats.org/officeDocument/2006/relationships/hyperlink" Target="https://www.sec.gov/Archives/edgar/data/2028707/000121390026032329/ea028257401ex10-9.htm" TargetMode="External"/><Relationship Id="rId22" Type="http://schemas.openxmlformats.org/officeDocument/2006/relationships/hyperlink" Target="https://www.sec.gov/Archives/edgar/data/2028707/000121390026032329/ea028257401ex10-10.htm" TargetMode="External"/><Relationship Id="rId23" Type="http://schemas.openxmlformats.org/officeDocument/2006/relationships/hyperlink" Target="https://www.sec.gov/Archives/edgar/data/2028707/000121390026032329/ea028257401ex10-11.htm" TargetMode="External"/><Relationship Id="rId24" Type="http://schemas.openxmlformats.org/officeDocument/2006/relationships/hyperlink" Target="https://www.sec.gov/Archives/edgar/data/2028707/000121390026032329/ea028257401ex10-12.htm" TargetMode="External"/><Relationship Id="rId25" Type="http://schemas.openxmlformats.org/officeDocument/2006/relationships/hyperlink" Target="https://www.sec.gov/Archives/edgar/data/2028707/000121390026057138/ea028917601ex31-1.htm" TargetMode="External"/><Relationship Id="rId26" Type="http://schemas.openxmlformats.org/officeDocument/2006/relationships/hyperlink" Target="https://www.sec.gov/Archives/edgar/data/2028707/000121390026057138/ea028917601ex31-2.htm" TargetMode="External"/><Relationship Id="rId27" Type="http://schemas.openxmlformats.org/officeDocument/2006/relationships/hyperlink" Target="https://www.sec.gov/Archives/edgar/data/2028707/000121390026057138/ea028917601ex32-1.htm" TargetMode="External"/><Relationship Id="rId28" Type="http://schemas.openxmlformats.org/officeDocument/2006/relationships/hyperlink" Target="https://www.sec.gov/Archives/edgar/data/2028707/000121390026057138/ea028917601ex32-2.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27163</Words>
  <Characters>150159</Characters>
  <CharactersWithSpaces>178799</CharactersWithSpaces>
  <Paragraphs>6598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