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333-295068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142875</wp:posOffset>
            </wp:positionV>
            <wp:extent cx="173164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Merlin, Inc.</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21, 2026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which forms a part of our Registration Statement on Form S-1 (Registration No. 333-295068). Capitalized terms used in this prospectus supplement and not otherwise defined herein have the meanings specified in the Prospectus.</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the information contained in:</w:t>
      </w:r>
    </w:p>
    <w:p>
      <w:pPr>
        <w:spacing w:after="0" w:line="22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filed with the SEC on May 15, 2026, which is set forth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April 29, 2026, excluding Item 7.01 and Exhibit 99.1, which is set forth below.</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Merlin, Inc.’s Common Stock is listed on the Nasdaq Stock Market LLC under the symbol “MRLN”. On June 1, 2026, the closing price of our Common Stock was $7.18 per share.</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such terms are defined under the federal securities laws and, as such, are subject to certain reduced public company reporting requirements.</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of the Prospectus, and under similar headings in any amendments or supplements to the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the Prospectus or this prospectus supplement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ind w:left="1160" w:hanging="212"/>
        <w:spacing w:after="0"/>
        <w:tabs>
          <w:tab w:leader="none" w:pos="1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1140" w:hanging="199"/>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3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tc>
        <w:tc>
          <w:tcPr>
            <w:tcW w:w="348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Commission file number: 001-42392</w:t>
            </w:r>
          </w:p>
        </w:tc>
        <w:tc>
          <w:tcPr>
            <w:tcW w:w="3480" w:type="dxa"/>
            <w:vAlign w:val="bottom"/>
          </w:tcPr>
          <w:p>
            <w:pPr>
              <w:spacing w:after="0"/>
              <w:rPr>
                <w:sz w:val="24"/>
                <w:szCs w:val="24"/>
                <w:color w:val="auto"/>
              </w:rPr>
            </w:pPr>
          </w:p>
        </w:tc>
      </w:tr>
      <w:tr>
        <w:trPr>
          <w:trHeight w:val="414"/>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MERLIN, INC.</w:t>
            </w:r>
          </w:p>
        </w:tc>
        <w:tc>
          <w:tcPr>
            <w:tcW w:w="34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0"/>
                <w:szCs w:val="20"/>
                <w:color w:val="auto"/>
              </w:rPr>
            </w:pPr>
          </w:p>
        </w:tc>
      </w:tr>
      <w:tr>
        <w:trPr>
          <w:trHeight w:val="452"/>
        </w:trPr>
        <w:tc>
          <w:tcPr>
            <w:tcW w:w="34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98-1797826</w:t>
            </w:r>
          </w:p>
        </w:tc>
      </w:tr>
      <w:tr>
        <w:trPr>
          <w:trHeight w:val="198"/>
        </w:trPr>
        <w:tc>
          <w:tcPr>
            <w:tcW w:w="5520" w:type="dxa"/>
            <w:vAlign w:val="bottom"/>
            <w:gridSpan w:val="4"/>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gridSpan w:val="8"/>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100 Causeway, Floor 23, Boston, MA 02114</w:t>
            </w:r>
          </w:p>
        </w:tc>
        <w:tc>
          <w:tcPr>
            <w:tcW w:w="34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43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480" w:type="dxa"/>
            <w:vAlign w:val="bottom"/>
          </w:tcPr>
          <w:p>
            <w:pPr>
              <w:spacing w:after="0"/>
              <w:rPr>
                <w:sz w:val="20"/>
                <w:szCs w:val="20"/>
                <w:color w:val="auto"/>
              </w:rPr>
            </w:pPr>
          </w:p>
        </w:tc>
      </w:tr>
      <w:tr>
        <w:trPr>
          <w:trHeight w:val="414"/>
        </w:trPr>
        <w:tc>
          <w:tcPr>
            <w:tcW w:w="3460" w:type="dxa"/>
            <w:vAlign w:val="bottom"/>
          </w:tcPr>
          <w:p>
            <w:pPr>
              <w:spacing w:after="0"/>
              <w:rPr>
                <w:sz w:val="24"/>
                <w:szCs w:val="24"/>
                <w:color w:val="auto"/>
              </w:rPr>
            </w:pPr>
          </w:p>
        </w:tc>
        <w:tc>
          <w:tcPr>
            <w:tcW w:w="398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(617) 226-9968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80" w:type="dxa"/>
            <w:vAlign w:val="bottom"/>
          </w:tcPr>
          <w:p>
            <w:pPr>
              <w:spacing w:after="0"/>
              <w:rPr>
                <w:sz w:val="20"/>
                <w:szCs w:val="20"/>
                <w:color w:val="auto"/>
              </w:rPr>
            </w:pPr>
          </w:p>
        </w:tc>
      </w:tr>
      <w:tr>
        <w:trPr>
          <w:trHeight w:val="432"/>
        </w:trPr>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439"/>
        </w:trPr>
        <w:tc>
          <w:tcPr>
            <w:tcW w:w="34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46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MRLN</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7"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0"/>
          <w:szCs w:val="20"/>
          <w:color w:val="auto"/>
        </w:rPr>
      </w:pPr>
    </w:p>
    <w:p>
      <w:pPr>
        <w:sectPr>
          <w:pgSz w:w="11900" w:h="16838" w:orient="portrait"/>
          <w:cols w:equalWidth="0" w:num="3">
            <w:col w:w="3100" w:space="720"/>
            <w:col w:w="3000" w:space="720"/>
            <w:col w:w="3700"/>
          </w:cols>
          <w:pgMar w:left="320" w:top="617" w:right="339" w:bottom="1440" w:gutter="0" w:footer="0" w:header="0"/>
          <w:type w:val="continuous"/>
        </w:sectPr>
      </w:pPr>
    </w:p>
    <w:p>
      <w:pPr>
        <w:spacing w:after="0" w:line="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13, 2026, there were 96,524,052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MERLIN,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8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6"/>
        </w:trPr>
        <w:tc>
          <w:tcPr>
            <w:tcW w:w="93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88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24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340" w:type="dxa"/>
            <w:vAlign w:val="bottom"/>
            <w:tcBorders>
              <w:bottom w:val="single" w:sz="8" w:color="CCEEFF"/>
            </w:tcBorders>
            <w:gridSpan w:val="4"/>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76"/>
        </w:trPr>
        <w:tc>
          <w:tcPr>
            <w:tcW w:w="93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880" w:type="dxa"/>
            <w:vAlign w:val="bottom"/>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500" w:type="dxa"/>
            <w:vAlign w:val="bottom"/>
          </w:tcPr>
          <w:p>
            <w:pPr>
              <w:spacing w:after="0"/>
              <w:rPr>
                <w:sz w:val="15"/>
                <w:szCs w:val="15"/>
                <w:color w:val="auto"/>
              </w:rPr>
            </w:pP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gridSpan w:val="2"/>
            <w:shd w:val="clear" w:color="auto" w:fill="CCEEFF"/>
          </w:tcPr>
          <w:p>
            <w:pPr>
              <w:spacing w:after="0"/>
              <w:rPr>
                <w:sz w:val="17"/>
                <w:szCs w:val="17"/>
                <w:color w:val="auto"/>
              </w:rPr>
            </w:pP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880" w:type="dxa"/>
            <w:vAlign w:val="bottom"/>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46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62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40" w:type="dxa"/>
            <w:vAlign w:val="bottom"/>
            <w:tcBorders>
              <w:top w:val="single" w:sz="8" w:color="CCEEFF"/>
            </w:tcBorders>
            <w:gridSpan w:val="5"/>
          </w:tcPr>
          <w:p>
            <w:pPr>
              <w:spacing w:after="0"/>
              <w:rPr>
                <w:sz w:val="15"/>
                <w:szCs w:val="15"/>
                <w:color w:val="auto"/>
              </w:rPr>
            </w:pPr>
          </w:p>
        </w:tc>
        <w:tc>
          <w:tcPr>
            <w:tcW w:w="1880" w:type="dxa"/>
            <w:vAlign w:val="bottom"/>
            <w:tcBorders>
              <w:top w:val="single" w:sz="8" w:color="CCEEFF"/>
            </w:tcBorders>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440" w:type="dxa"/>
            <w:vAlign w:val="bottom"/>
            <w:tcBorders>
              <w:bottom w:val="single" w:sz="8" w:color="CCEEFF"/>
            </w:tcBorders>
            <w:gridSpan w:val="9"/>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76"/>
        </w:trPr>
        <w:tc>
          <w:tcPr>
            <w:tcW w:w="16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(the “Quarterly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other than statements of historical facts contained in this Quarterly Report are forward-looking statements, including without limitation statements regarding our business strategy, expected growth, future operations and financial performance, anticipated timing of commercialization of our autonomous flight technology, our ability to obtain and maintain regulatory approvals, our ability to secure additional capital, our expected cash runway, our ability to remediate our material weaknesses, and other plans and objectives of management for future operations.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our ability to realize the expected benefits of the that certain business combination (the “Business Combination”) pursuant to that certain Business Combination Agreement, dated as of August 13, 2025 (as amended on March 14, 2026, the “Business Combination Agreement”), by and among Inflection Point Acquisition Corp. IV (“Inflection Point”), IPDX Merger Sub, Inc., a Delaware corporation and direct, wholly-owned subsidiary of Inflection Point, and Merlin Labs, Inc., a Delaware corporation; our ability to maintain the listing of our Common Stock on Nasdaq; our public securities’ potential liquidity and trading; our ability to raise financing in the future and to comply with restrictive covenants related to long-term indebtedness; our ability to retain or recruit, or to effect changes required in, our officers, key employees or directors; our reliance upon the efforts of our Board and key personnel to be successful; our limited operating history; expectations regarding the time during which the Company will be an “emerging growth company”; failure to manage our growth effectively; competition from existing or new companies; changes in the market for the Company’s products and services and our ability to effectively compete in the aviation technology industry; unsatisfactory safety performance of our non-human pilot system, Merlin Pilot, or security incidents at our facilities; failure of the market to achieve the growth potential we expect; our customer concentration; our reliance on a limited number of suppliers for certain materials and supplied components; failure of our products to operate in the expected manner or defects in our products; our history of losses and failure to achieve profitability in the future; counterparty risks on contracts entered into with our customers and failure of our prime contractors to maintain their relationships with their counterparties and fulfill their contractual obligations; failure to comply with laws and regulations relating to various aspects of our business and any changes in the funding levels of various governmental entities with which we do business; failure to protect the confidentiality of our trade secrets and know how; failure to comply with the terms of third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party open source software our systems utilize; our ability to maintain an effective system of internal control over financial reporting, and remediate existing material weaknesses; the U.S. government’s budget deficit and the national debt, as well as any inability of the U.S. government to complete its budget process for any government fiscal year, and our dependence on U.S. government contracts; failure to comply with U.S. export and import control laws and regulations and U.S. economic sanctions and trade control laws and regulations; uncertain global macro</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economic and geopolitical conditions and rising inflation; delays or disruptions from changes in the certification process, potential government shutdowns, budget reductions, and shifting regulatory priorities, which could jeopardize customer commitments and milestones, postpone commercialization, and adversely affect our business, results of operations, and financial condition; and the other factors detailed under the section entitled “Risk Factors” of our final prospectus, dated May 13, 2026, filed with the Securities and Exchange Commission (the “SEC”) on May 13, 2026 and in this Quarterly Report.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Quarterly Report to “we,” “us,” “our,” “Merlin” or the “Company” refer to Merlin Labs, Inc. and its subsidiaries prior to the consummation of the Business Combination and after the consummation of the Business Combination, Merlin, Inc. and its subsidiaries. References to “Quarterly Report” herein refer to this Quarterly Report on Form 10-Q for the quarterly period ended March 31, 2026 and references to the “Prospectus” refer to the final prospectus, dated May 13, 2026, filed with the SEC on May 13,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website under the heading “Investor Relations” at </w:t>
      </w:r>
      <w:r>
        <w:rPr>
          <w:rFonts w:ascii="Times New Roman" w:cs="Times New Roman" w:eastAsia="Times New Roman" w:hAnsi="Times New Roman"/>
          <w:sz w:val="18"/>
          <w:szCs w:val="18"/>
          <w:i w:val="1"/>
          <w:iCs w:val="1"/>
          <w:color w:val="auto"/>
        </w:rPr>
        <w:t>www.merlinlabs.com</w:t>
      </w:r>
      <w:r>
        <w:rPr>
          <w:rFonts w:ascii="Times New Roman" w:cs="Times New Roman" w:eastAsia="Times New Roman" w:hAnsi="Times New Roman"/>
          <w:sz w:val="18"/>
          <w:szCs w:val="18"/>
          <w:color w:val="auto"/>
        </w:rPr>
        <w:t xml:space="preserve"> as soon as reasonably practicable after filing such material with the SEC.</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may announce material business and financial information to our investors using our investor relations website at </w:t>
      </w:r>
      <w:r>
        <w:rPr>
          <w:rFonts w:ascii="Times New Roman" w:cs="Times New Roman" w:eastAsia="Times New Roman" w:hAnsi="Times New Roman"/>
          <w:sz w:val="18"/>
          <w:szCs w:val="18"/>
          <w:i w:val="1"/>
          <w:iCs w:val="1"/>
          <w:color w:val="auto"/>
        </w:rPr>
        <w:t>http://investors.merlinlabs.com/</w:t>
      </w:r>
      <w:r>
        <w:rPr>
          <w:rFonts w:ascii="Times New Roman" w:cs="Times New Roman" w:eastAsia="Times New Roman" w:hAnsi="Times New Roman"/>
          <w:sz w:val="18"/>
          <w:szCs w:val="18"/>
          <w:color w:val="auto"/>
        </w:rPr>
        <w:t>. We therefore encourage investors and others interested in Merlin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122,777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transaction costs (Note 2)</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130,014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70,931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DEFICIT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Long-term debt, current portion, net ($19,175 at fair value and $96 at amortized cost, net as of December 31, 2025)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8)</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(Note 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loss provision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14,913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64,299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debt, non-current portion, net ($12,207 at fair value and $577 at amortized cost, net as of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(Note 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(Note 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87,803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76,766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104,158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154,180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50,000,000 shares authorized and 21,711,880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(Note 10)</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180,331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800,000,000 and 138,655,675 shares authorized; 84,544,557 and 70,959,389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502,351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477,448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(641,472)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(551,053)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mezzanine equity, and stockholders’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loss adjustments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14,090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(87,824)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dividends and accretion</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72,421,272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70,947,705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right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8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960" w:type="dxa"/>
            <w:vAlign w:val="bottom"/>
            <w:tcBorders>
              <w:right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1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1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9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1"/>
                <w:szCs w:val="21"/>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17,696,748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5,169,812</w:t>
            </w:r>
          </w:p>
        </w:tc>
        <w:tc>
          <w:tcPr>
            <w:tcW w:w="600" w:type="dxa"/>
            <w:vAlign w:val="bottom"/>
            <w:tcBorders>
              <w:lef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(131,522)</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(17,696,748)</w:t>
            </w:r>
          </w:p>
        </w:tc>
        <w:tc>
          <w:tcPr>
            <w:tcW w:w="10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(130,616)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65,750,960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130,609</w:t>
            </w:r>
          </w:p>
        </w:tc>
        <w:tc>
          <w:tcPr>
            <w:tcW w:w="18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balances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70,920,772</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134,618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(135,532)</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common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7"/>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2025</w:t>
            </w: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46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70,959,389</w:t>
            </w:r>
          </w:p>
        </w:tc>
        <w:tc>
          <w:tcPr>
            <w:tcW w:w="600" w:type="dxa"/>
            <w:vAlign w:val="bottom"/>
            <w:tcBorders>
              <w:lef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135,141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(148,265</w:t>
            </w:r>
          </w:p>
        </w:tc>
        <w:tc>
          <w:tcPr>
            <w:tcW w:w="1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17,154,902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461,963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5,306,250</w:t>
            </w:r>
          </w:p>
        </w:tc>
        <w:tc>
          <w:tcPr>
            <w:tcW w:w="600" w:type="dxa"/>
            <w:vAlign w:val="bottom"/>
            <w:tcBorders>
              <w:lef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(551,053)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(535,561)</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(17,154,902)</w:t>
            </w:r>
          </w:p>
        </w:tc>
        <w:tc>
          <w:tcPr>
            <w:tcW w:w="10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(461,963)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64,357,145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461,957</w:t>
            </w:r>
          </w:p>
        </w:tc>
        <w:tc>
          <w:tcPr>
            <w:tcW w:w="18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461,963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balances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69,663,395</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477,448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(551,053)</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(73,598)</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common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Equity-based payments to</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non-employees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upon exercise of warrants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redeemable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upon exercise of warrants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701,293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6,859</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Pre-PIPE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Bridge and Pre-Funded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PIPE Notes to Series A</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9,754,665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116,931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Series A Preferred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in exchange for 2024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LSA Amendment Warrants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490,196</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Series A Preferred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in connection with the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PIPE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11,470,590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58,270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connection with the Merger</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13,750,282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17,265</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to 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and accretion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2026</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46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21,711,880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180,331</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84,544,557</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502,351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(641,472</w:t>
            </w:r>
          </w:p>
        </w:tc>
        <w:tc>
          <w:tcPr>
            <w:tcW w:w="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(139,113</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Company’s common stock and mezzanine equity have been retrospectively recast to reflect the change in the capital structure as a result of the Merger as described in Note 3. Reverse Recapitalization.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payments to non-employees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87,824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foreign currency exchange rate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capitalized transactions costs related to issuance of PIPE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loss provision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of property and equipment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A Preferred Stock in connection with PIPE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71,805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the Merger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transaction costs related to issuance of Series A Preferred Stock in connection with PIPE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transaction costs related to issuance of common stock in connection with the Merger</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costs directly attributable to the Merger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66,003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59,343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37,195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125,346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22,488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obtained for deposits paid in 2025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redeemable convertible preferred stock upon 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Pre-PIPE Bridge and Pre-Funded PIPE Notes to Series A Preferred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A Preferred Stock in exchange for 2024 LSA Amendment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Costs directly attributable to the Merger paid in 2025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A Preferred Stock to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dividends and accretion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Merlin, Inc. (formerly known as Inflection Point Acquisition Corp. IV or “Inflection Point”), collectively with its subsidiaries (the “Company” or “Merlin”), develops software that fulfills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a special purpose acquisition company incorporated as a Cayman Islands exempted corporation on June 24, 2024 as “Bleichroeder Acquisition Corp. I” and subsequently changed its name to Inflection Point Acquisition Corp. IV on October 21, 2025. The Company was incorporated for the purpose of effecting a merger, amalgamation, share exchange, asset acquisition, share purchase, reorganization, or similar business combination with one or more businesses.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closing of the Merger (as defined below), shares of Merlin common stock began trading on Nasdaq Stock Market LLC under the symbol “MRLN.”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13, 2025, the Company entered into a Business Combination Agreement (the “Business Combination Agreement” or “BCA”) with IPDX Merger Sub, Inc., a Delaware corporation and wholly owned subsidiary of the Company (“Merger Sub”) and Merlin Labs, Inc., a Delaware corporation (“Legacy Merlin”). Pursuant to the Business Combination Agreement, Merger Sub merged with and into Legacy Merlin, with Legacy Merlin surviving the transaction as a wholly-owned subsidiary of the Company (the “Merger”).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Legacy Merlin was incorporated on October 10, 2018, as a Delaware corporation under the name Apollo Flight Research, Inc., and changed its name to Merlin Labs, Inc. on October 27, 2020. Legacy Merlin is the parent company of two wholly-owned subsidiaries: Merlin Labs NZ Limited (“MLNL”), a New Zealand Limited Company, and Merlin Labs Securities Corporation (“MLSC”), a Massachusetts Securities Corporation.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2026, as contemplated by the Business Combination Agreement, Inflection Point filed a notice of deregistration with the Cayman Islands Registrar of Companies and filed a certificate of incorporation and certificate of corporate domestication with the Secretary of State of the State of Delaware, pursuant to which Inflection Point was domesticated and continues as a Delaware corporation, changing its name to “Merlin, Inc.” (the Domestication”). Immediately prior to the Domestication, the holders of the Class B ordinary shares of Inflection Point, par value $0.0001 per share, elected to convert such shares on a one-for-one basis into Class A ordinary shares of Inflection Point, par value $0.0001 per share (“Inflection Point Class A Shares”). In connection with the Domestication, (i) each of the then issued and outstanding Inflection Point Class A Shares converted automatically, on a one-for-one basis, into a share of post-Domestication Inflection Point, (ii) each of the then issued and outstanding rights to receive one-tenth (1/10) of one Inflection Point Class A Share upon consummation of an initial business combination of Inflection Point (“Inflection Point Rights”) converted automatically into a right to receive one-tenth (1/10) of one post-Domestication Inflection Point Class A Share, and (iii) each of the then issued and outstanding units of Inflection Point containing one Inflection Point Class A Share and one Inflection Point Right (“Inflection Point Units”) converted automatically into a unit of post-Domestication Inflection Point containing one post-Domestication Inflection Point Class A Share and one post-Domestication Inflection Point Right.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2026 (the “Closing” or the “Closing Date”), the Company consummated the previously announced Merger and related transactions contemplated by the Business Combination Agreement and Legacy Merlin became a wholly-owned subsidiary of the Company (after the Merger, “Merlin OpCo”).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Merger, the Company is a holding company in which all of its assets are held by Merlin OpCo and its subsidiaries and the business continues to operate through Merlin OpCo and its subsidiaries. The Merger is accounted for as a reverse recapitalization in accordance with accounting principles generally accepted in the United States of America (“U.S. GAAP”). Under this method of accounting, Inflection Point is treated as the acquired company for financial reporting purposes. Accordingly, for accounting purposes, the Merger is treated as the equivalent of Legacy Merlin issuing stock for the net assets of Inflection Point, accompanied by recapitalization. Legacy Merlin has been determined to be the accounting predecessor to the combined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noted or the context otherwise requires, references to the “Company,” “Merlin,” “we,” “us”, or “our” refer to the business of Legacy Merlin and its subsidiaries prior to the Closing and to the business of the Company and its subsidiaries, including Merlin OpCo, MLNL, and MLSC, following the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Reverse Recapitalization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pursuant to the rules and regulations of the Securities and Exchange Commission (“SEC”). The accompanying unaudited condensed consolidated financial statements include the accounts of Merlin, Inc., and its consolidated subsidiaries, Merlin OpCo, MLNL, and MLSC. All intercompany balances and transactions have been eliminated in consolidation.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2025 included herein was derived from the audited consolidated financial statements of Legacy Merlin as of that date, but does not include all disclosures, including certain notes required by U.S. GAAP on an annual reporting basis. In management’s opinion, the unaudited condensed consolidated financial statements reflect all normal recurring adjustments necessary to present fairly the unaudited condensed consolidated balance sheets and statements of operations, mezzanine equity and stockholders’ deficit, and cash flows for the interim periods, but are not necessarily indicative of the results of operations to be anticipated for the full fiscal year or any future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Merger, prior period share and per share amounts presented in the unaudited condensed consolidated financial statements and these related notes have been retroactively recast in accordance with Accounting Standards Codification (“ASC”) 805, Business Combinations.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of Legacy Merlin as of and for the years ended December 31, 2025 and 2024 contained in a Form 8-K dated and filed with the SEC on March 20,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the Company’s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incurred net losses in the amounts of $90,419 and $12,733, respectively, and generated negative cash flows from operations in the amounts of $23,644 and $13,081, respectively. Additionally, as of March 31, 2026, the Company has an accumulated deficit in the amount of $641,472 and cash and cash equivalents of $122,777.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2026, the Company completed its planned Merger (refer to Note 3. Reverse Recapitalization). In connection with the Merger, the Company issued preferred stock and equity-linked instruments in an additional private investment in public equity (“PIPE”) transaction for $120,000 in gross proceeds and the Company’s outstanding convertible promissory notes converted into preferred stock and warrants to purchase common stock of the Company (refer to Note 8. Debt and Note 9. Warrants). Additionally, on May 1, 2026 the Company issued common stock and common stock warrants in a PIPE transaction for $80,000 in gross proceeds (refer to Note 17. Subsequent Events).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liquidity position as of May 15, 2026, the Company’s net cash proceeds and debt conversion from the Merger, the Company’s current forecast of operating results and cash flows, and the Company’s outstanding obligations, the Company determined that its financial condition is sufficient to fund its planned operations, commitments, and contractual obligations for a period of at least one year following the date that these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8-K for the year ended December 31, 2025. There have been no significant changes to these policies that have had a material impact on the Company’s condensed consolidated financial statements and related notes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consists of deposits held at financial institutions that are used to collateralize irrevocable letters of credit required under the Company’s lease agreements. Restricted cash that is expected to be used within one year of the balance sheet date is classified as a current asset, whereas restricted cash expected to be used more than one year from the balance sheet date is classified as a non-current asset. At March 31, 2026, all restricted cash was non-current.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at the end of each respective period as shown in the Company’s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0"/>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generated $1,002 and $868 in revenue, with a significant amount (&gt; 90%) of this revenue coming from the U.S. government (refer to Note 4. Revenue Recognition from Contracts with Customers for further information). As of March 31, 2026 and December 31, 2025, accounts receivable from the U.S. government totaled $1,307 and $368,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76"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to the valuation methodology include: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long-lived assets are reviewed by the Company for possible impairment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March 31, 2026 and December 31, 2025, the Company determined that there have been no significant events or changes in circumstances that would cause the impairment of any of the Company’s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to apply the fair value method of accounting in accordance with ASC 825, Financial Instruments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condensed consolidated statements of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Derivatives and Hedging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included in ASC 480 and ASC 815. The assessment 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condensed consolidated balance sheets. Changes in the estimated fair value of the warrants are non-cash gain or losses recognized in change in fair value of warrant liabilities 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preferred stock under the classification guidance of ASC 480. The Company’s preferred stock does not require liability classification under ASC 480 and is classified in mezzanine equity as it may be subject to redemption upon the occurrence of an event that is not solely within the control of the Company. Upon issuance, the Company evaluates whether identified embedded derivatives should be bifurcated and accounted for as a derivative at fair value under ASC 815. Preferred stock classified in mezzanine equity is initially recognized at the proceeds received, net of issuance costs and the fair value of any bifurcated derivatives.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 For preferred stock recognized in mezzanine equity that is probable of becoming redeemable, the Company accretes changes in the redemption amount from the date of issuance to the earliest redemption date using the effective interest method.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research and development agreements with third-parties where the Company is paid for research and development activities. The amounts received under these agreements are recorded as a reduction to research and development expense in the consolidated statements of operations. The Company recorded $150 and $150 as a reduction to research and development expense during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During the three months ended March 31, 2026 and 2025, the Company incurred advertising expense in the amounts of $554 and $271,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Transaction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transaction costs primarily consist of legal and accounting costs incurred that were direct and incremental to the Merger. During the three months ended March 31, 2026, the Company capitalized $2,061 of transaction costs in capitalized transaction costs on the condensed consolidated balance sheets. Upon the completion of the Merger, capitalized transaction costs were netted against the proceeds from the Merger and recorded as an offset to stockholders’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adjusting net loss for the Series A Preferred Stock dividends and accretion (refer to Note 11. Net Loss Per Share for further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attributable to common stockholders adjusts basic loss per share for the potentially dilutive impact of preferred stock, stock options, common stock warrants, preferred stock warrants, and debt conversion features. As the Company has reported losses for all periods presented and all potentially dilutive securities are anti-dilutive, basic net loss per share equaled diluted net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Financial Accounting Standards Board ("FASB") issued Accounting Standards Update ("ASU") 2025-03, to improve consistency in determining the accounting acquirer in certain business combinations involving variable interest entities. The amendments are effective in annual periods beginning after December 15, 2026, and interim periods within those years, with early adoption permitted. The Company adopted this standard as of January 1, 2026, and utilized this new standard when analyzing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which requires the disclosure of additional information about specific expense categories in the notes to the consolidated financial statements on an annual and interim basis. The standard is effective for fiscal years beginning after December 15, 2026, and interim periods within fiscal years beginning after December 15, 2027 on either a prospective or retrospective basis, with early adoption permitted. The Company is currently evaluating the impacts of the new standard on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Organization and Description of Business, Inflection Point, Merger Sub, and Legacy Merlin entered into the Business Combination Agreement on August 13, 2025. In connection with the entrance into the Business Combination and the anticipated Merger, the following transactions occurred prior to the Closing Date:</w:t>
      </w:r>
    </w:p>
    <w:p>
      <w:pPr>
        <w:spacing w:after="0" w:line="176"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and August 2025, Legacy Merlin and certain investors entered into the Pre-PIPE Bridge and Pre-Funded PIPE Agreements, pursuant to which Legacy Merlin issued the investors Pre-PIPE Bridge and Pre-Funded PIPE Notes and Warrants. The Pre-PIPE Bridge and Pre-Funded PIPE Notes and Warrants were funded and issued between July and November 2025. Refer to Note 8. Debt and Note 9. Warrants for further information.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Inflection Point, Legacy Merlin, and certain investors entered into securities purchase agreements (“Series A SPAs”) pursuant to which, on the Closing Date, the Company would issue shares of its 12.0% Series A Cumulative Convertible Preferred Stock (“Series A Preferred Stock”) and common stock purchase warrants (“PIPE Warrants”) in a private investment in public equity (“PIPE”) transaction for aggregate gross proceeds of $120,000 (the “Closing PIPE”). The Closing PIPE was funded, and the Series A Preferred Stock and PIPE Warrants were issued, at the Closing. Refer to Note 9. Warrants and Note 10. Mezzanine Equity and Stockholders’ Deficit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and in contemplation of the Merger, the following occurred immediately prior to the Closing: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convertible security of Legacy Merlin (other than the Pre-PIPE Bridge Notes and Pre-Funded PIPE Notes) automatically converted into full shares of redeemable convertible preferred stock or common stock, as applicable, of Legacy Merlin;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Merlin’s outstanding and unexercised preferred stock warrant liabilities were automatically exercised on a cashless basis or were exchanged for securities issued in the Closing PIPE, based on the applicable terms thereof (refer to Note 9.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conversions and exercises described at (1) and (2) above, each issued and outstanding share of Legacy Merlin’s redeemable convertible preferred stock automatically converted into shares of Legacy Merlin common stock;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Merlin’s outstanding and unexercised common stock warrants (other than the Pre-PIPE Bridge Warrants and Pre-Funded PIPE Warrants) were automatically exercised on a cashless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and pursuant to the terms of the Business Combination Agreement:</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Merlin common stock held by Legacy Merlin, Merger Sub, or the Company was canceled without consideration exchanged therefor;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issued and outstanding share of Legacy Merlin common stock was canceled and converted into the right to receive shares of the common stock at an exchange ratio of approximately 3.102;</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equity securities of Legacy Merlin was converted into an option to acquire common stock at an exchange ratio of approximately 3.102;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Pre-PIPE Bridge Note and Pre-Funded PIPE Note was converted into shares of Series A Preferred Stock, par value $0.0001 per share;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Pre-PIPE Bridge Warrant and Pre-Funded PIPE Warrant was converted into a PIPE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net proceeds from the Merger: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Inflection Point trust account, net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Inflection Point operating account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100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from Inflection Point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 Closing PIPE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in Inflection Point going into the Merger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123,070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17"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gross proceeds of $25,864 from the Inflection Point trust account less the payment of transaction costs of $(23,220) utilizing the proceeds released from the Inflection Point trust account.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60" w:type="dxa"/>
            <w:vAlign w:val="bottom"/>
          </w:tcPr>
          <w:p>
            <w:pPr>
              <w:spacing w:after="0"/>
              <w:rPr>
                <w:sz w:val="21"/>
                <w:szCs w:val="21"/>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2024 LSA Loans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8"/>
        </w:trPr>
        <w:tc>
          <w:tcPr>
            <w:tcW w:w="10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cash used immediately after the Merger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to Merlin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94,736</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impact of the Merger on the Company's common stock: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5,306,250</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 prior to the Merger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131,028</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6,327</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redeemable convertible preferred stock upon 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226,113</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redeemable convertible preferred stock to common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17,154,902</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461,962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Balances immediately prior to the Merger</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22,824,620</w:t>
            </w: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ind w:right="7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484,538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Application of the exchange ratio to Legacy Merlin stockholders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47,966,076</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the Merger to Inflection Point stockholders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rightsholders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13,750,282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immediately after the Merger</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84,540,978</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501,798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from Contracts with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revenues by customer-type. These categories represent how the nature, timing and uncertainty of revenues and cash flows are affected.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Disaggregated revenues by customer-type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non-U.S. government customers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New Zealand during the three months ended March 31, 2026 and 2025 amounted to $52 and $31,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revenue recognized during the three months ended March 31, 2026 and 2025 was related to performance obligations satisfied in prior periods.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the remaining performance obligations was $1,124, all of which will be recognized over the next 12 months.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09"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contract balances: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Contract loss provision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revenue recognized during the three months ended March 31, 2026 from amounts included in deferred revenue at the beginning of the period. Revenue recognized during the three months ended March 31, 2025 from amounts included in deferred revenue at the beginning of the period was $112. The decrease in unbilled receivables from December 31, 2025 to March 31, 2026 represents revenue that was previously earned and recognized but was not invoiced until the three months ended March 31,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revised the estimate of total costs to be incurred to deliver the United States Air Force Special Operations Command contract. The Company reduced the remaining contract loss provision liability to $738 on the condensed consolidated balance sheet as of March 31, 2026 and recognized a favorable adjustment to the contract loss provision of $2,451 on the consolidated statement of operations during the three months ended March 31,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amortized $984 and $672 during the three months ended March 31, 2026 and 2025, respectively, of the previously recognized contract loss provision as a reduction to cost of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allowance for credit losses is immaterial to the unaudited condensed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and indicates the fair value hierarchy of the valuation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121,417</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121,417</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121,417</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9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87,803</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56,695</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56,695</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56,695</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LSA Loans, current portion</w:t>
            </w:r>
          </w:p>
        </w:tc>
        <w:tc>
          <w:tcPr>
            <w:tcW w:w="1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19,175</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LSA Loans, non-current portion</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12,207</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76,766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76,766</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137,255</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162"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for cash equivalents are based on quoted market prices in active markets.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and in contemplation of the anticipated Merger, fair value measurements for warrant liabilities and convertible promissory notes were estimated using a probability-weighted expected return method, considering scenarios in which the Merger does or does not occur. As of the Closing Date, the probability assigned to the scenario in which the Merger occurred was 100%, compared to 85% as of December 31, 2025.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both scenarios, the fair value of the 2024 LSA Amendment Warrants were estimated using a discounted cash flow method, calculating the present value of future cash flows based on the contractual terms thereof at the calibrated discount rate.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and prior to December 31, 2025, 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was estimated using the Black-Scholes option pricing formula. As of the Closing Date, fair value measurements for the Pre-PIPE Bridge Warrants and Pre-Funded PIPE Warrants were estimated using a Monte Carlo simulation, modeling the future stock price of the Company’s common stock to simulate payoff scenarios for the PIPE Warrants that the Pre-PIPE Bridge Warrants and Pre-Funded PIPE Warrants were contractually required to be exchanged for, discounted at the term-matched risk-free rate. The fair value measurements of the Pre-PIPE Bridge Warrants and Pre-Funded PIPE Warrants are calculated as the average present value of all future modeled payoff scenarios.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relevant assumptions were used in determining the fair value of the warrant liabilities and convertible promissory notes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Non-Merger scenario - Equity value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Non-Merger scenario - Expected financing amount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Non-Merger scenario - Expected financing date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6/30/2026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Non-Merger scenario - Expected liquidity event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9/30/2028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Non-Merger scenario - Equity volatility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60.0%-75.0%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Merger scenario - Expected Merger date</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3/31/2026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scenario - Stock price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Merger scenario - Equity volatility</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Calibrated discount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3.44%-4.78%</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and prior to December 31, 2025, 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 As of the Closing Date, fair value measurements for the 2024 LSA Loans were estimated based on the contractual redemption amount as of the Closing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relevant assumptions were used in determining the fair value of the 2024 LSA Loans as of December 31, 2025:</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98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B Prime redeemable convertible preferred stock</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rating</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CCC-</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measurements for the PIPE Warrants were estimated using a Monte Carlo simulation, modeling the future stock price of the Company’s common stock to simulate payoff scenarios for the PIPE Warrants, discounted at the term-matched risk-free rate. The fair value measurements of the PIPE Warrants are calculated as the average present value of all future modeled payoff scenarios.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99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998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relevant assumptions were used in determining the fair value of the PIPE Warrants as of March 31, 2026: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4.96</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65.0%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3.88%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fair value measurement activity, using unobservable inputs and associated unrealized gains with respect to warrant liabilities outstanding during the three months ended March 31, 2026 and 2025 was as follows: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warrants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warrants prior 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of warrants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warrants in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warrants after the Merger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35"/>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695" w:hanging="695"/>
        <w:spacing w:after="0"/>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3,586</w:t>
      </w:r>
    </w:p>
    <w:p>
      <w:pPr>
        <w:spacing w:after="0" w:line="27" w:lineRule="exact"/>
        <w:rPr>
          <w:rFonts w:ascii="Times New Roman" w:cs="Times New Roman" w:eastAsia="Times New Roman" w:hAnsi="Times New Roman"/>
          <w:sz w:val="18"/>
          <w:szCs w:val="18"/>
          <w:color w:val="auto"/>
        </w:rPr>
      </w:pPr>
    </w:p>
    <w:p>
      <w:pPr>
        <w:ind w:left="8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58" w:lineRule="exact"/>
        <w:rPr>
          <w:sz w:val="20"/>
          <w:szCs w:val="20"/>
          <w:color w:val="auto"/>
        </w:rPr>
      </w:pPr>
    </w:p>
    <w:p>
      <w:pPr>
        <w:ind w:left="695" w:hanging="695"/>
        <w:spacing w:after="0"/>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2" w:lineRule="exact"/>
        <w:rPr>
          <w:sz w:val="20"/>
          <w:szCs w:val="20"/>
          <w:color w:val="auto"/>
        </w:rPr>
      </w:pPr>
    </w:p>
    <w:p>
      <w:pPr>
        <w:ind w:left="235"/>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615" w:hanging="615"/>
        <w:spacing w:after="0"/>
        <w:tabs>
          <w:tab w:leader="none" w:pos="6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76,766</w:t>
      </w:r>
    </w:p>
    <w:p>
      <w:pPr>
        <w:spacing w:after="0" w:line="27" w:lineRule="exact"/>
        <w:rPr>
          <w:rFonts w:ascii="Times New Roman" w:cs="Times New Roman" w:eastAsia="Times New Roman" w:hAnsi="Times New Roman"/>
          <w:sz w:val="18"/>
          <w:szCs w:val="18"/>
          <w:color w:val="auto"/>
        </w:rPr>
      </w:pPr>
    </w:p>
    <w:p>
      <w:pPr>
        <w:ind w:left="5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(22,111)</w:t>
      </w:r>
    </w:p>
    <w:p>
      <w:pPr>
        <w:spacing w:after="0" w:line="20"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(6,859)</w:t>
      </w:r>
    </w:p>
    <w:p>
      <w:pPr>
        <w:spacing w:after="0" w:line="9"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(3,745)</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48,195</w:t>
      </w:r>
    </w:p>
    <w:p>
      <w:pPr>
        <w:spacing w:after="0" w:line="9"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(4,443)</w:t>
      </w:r>
    </w:p>
    <w:p>
      <w:pPr>
        <w:spacing w:after="0" w:line="58" w:lineRule="exact"/>
        <w:rPr>
          <w:sz w:val="20"/>
          <w:szCs w:val="20"/>
          <w:color w:val="auto"/>
        </w:rPr>
      </w:pPr>
    </w:p>
    <w:p>
      <w:pPr>
        <w:ind w:left="615" w:hanging="615"/>
        <w:spacing w:after="0"/>
        <w:tabs>
          <w:tab w:leader="none" w:pos="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fair value measurement activity, using unobservable inputs and associated unrealized losses with respect to convertible promissory notes outstanding during the three months ended March 31, 2026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87,824</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promissory notes in the Merger</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(116,931)</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March 31, 2026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fair value measurement activity, using unobservable inputs and associated unrealized losses with respect to 2024 LSA Loans outstanding during the three months ended March 31, 2026 was as follows:</w:t>
      </w:r>
    </w:p>
    <w:p>
      <w:pPr>
        <w:sectPr>
          <w:pgSz w:w="11900" w:h="16838" w:orient="portrait"/>
          <w:cols w:equalWidth="0" w:num="1">
            <w:col w:w="11240"/>
          </w:cols>
          <w:pgMar w:left="320" w:top="900"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Non-cash change in fair value of 2024 LSA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Extinguishment of 2024 LSA Loans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620" w:hanging="6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31,382</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(4,562)</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(28,334)</w:t>
      </w:r>
    </w:p>
    <w:p>
      <w:pPr>
        <w:spacing w:after="0" w:line="58" w:lineRule="exact"/>
        <w:rPr>
          <w:sz w:val="20"/>
          <w:szCs w:val="20"/>
          <w:color w:val="auto"/>
        </w:rPr>
      </w:pPr>
    </w:p>
    <w:p>
      <w:pPr>
        <w:ind w:left="940" w:hanging="93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0"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5,173</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amounted to $417 and $381,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aircraft, and airport hangar space under noncancelable operating lease agreements, which require escalating monthly rental payments plus related operating costs and expire on various dates through 2033. These leases contain no provisions for renewal other than a certain New Zealand lease, which contains one renewal option for five years. The Company is not reasonably certain to elect the renewal option and has excluded it in the related right-of-use asset.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4, 2025, the Company entered into a lease agreement that has not commenced for airport hangar and corporate office space in Bedford, MA and thus no right-of-use asset or lease liability has been recorded. When the lease commences the lease arrangement will have estimated total future payments of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March 31, 2026, the premises and the land for the temporary hangar have not yet been made available to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the Company entered into a lease agreement to lease office space in Boston, MA. The lease commencement date was March 23, 2026 and the lease term expires on January 31, 2029. The Company retains the right to terminate the lease, effective on the second anniversary of the lease commencement date with no less than nine months prior written notice being provided, for a termination penalty of $150. The early lease termination option is reasonably certain of being exercised and was therefore included in the computation of the operating lease right of use asset and corresponding operating lease liability. The lease is accounted for as an operating lease, and the Company recognized an operating lease right of use asset and lease liability of $1,632 at the lease commencement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2026 and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4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expense</w:t>
            </w:r>
          </w:p>
        </w:tc>
        <w:tc>
          <w:tcPr>
            <w:tcW w:w="4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418</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488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4"/>
                <w:szCs w:val="24"/>
                <w:color w:val="auto"/>
              </w:rPr>
            </w:pPr>
          </w:p>
        </w:tc>
        <w:tc>
          <w:tcPr>
            <w:tcW w:w="15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00" w:type="dxa"/>
            <w:vAlign w:val="bottom"/>
          </w:tcPr>
          <w:p>
            <w:pPr>
              <w:spacing w:after="0"/>
              <w:rPr>
                <w:sz w:val="16"/>
                <w:szCs w:val="16"/>
                <w:color w:val="auto"/>
              </w:rPr>
            </w:pPr>
          </w:p>
        </w:tc>
        <w:tc>
          <w:tcPr>
            <w:tcW w:w="138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operating lease payments as of March 31, 2026 are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long-term debt as of December 31, 2025:</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LSA Loan</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2022 PGF Loan</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LSA Loans</w:t>
            </w: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31,383</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1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32,055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23"/>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redemption of the 2022 PGF Loan, the redemption of the 2024 LSA Loans, and the conversions of the Pre-PIPE Bridge and Pre-Funded PIPE Notes in connection with the Merger, the Company did not have any outstanding debt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LSA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September 2021, the Company entered into a loan and security agreement (“2021 LSA”) with the lender thereto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issue term loans under the 2021 LSA Second Tranche, the Company was required to achieve certain operational milestones and the 2021 LSA Second Tranche expired unused in March 2022. Further, the Company had no enforceable right to issue term loans under the 2021 LSA Reserve as any binding commitment thereto was subject to the Company and lender agreeing to enter into a binding commitment to provide funding following the Company’s next equity financing round. No amounts were drawn under the 2021 LSA Reserve. In connection with the execution of the 2021 LSA, the Company issued the lender thereunder warrants to purchase the Company’s redeemable convertible preferred stock (“2021 LSA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September 2021, the Company entered into a term loan in an aggregate principal amount of $3,000 under the 2021 LSA First Tranche (“2021 LSA Loan”). The 2021 LSA Loan bore interest at 11% per annum. Pursuant to the terms of the 2021 LSA, the Company was required to make interest-only payments through June 2022, and subsequently, the aggregate principal amount of the 2021 LSA Loan was amortized and paid down in equal monthly installments, together with interest thereon, over the following by 36 months until the final maturity of the 2021 LSA Loan on July 1, 2025. All outstanding principal, plus interest accrued thereon, was repaid in accordance with the contractual terms of the 2021 LSA in July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Provincial Growth Fund (“PGF”) Loan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MLNL entered into a loan agreement (“2022 PGF Agreement”) with the New Zealand Ministry of Business, Innovation and Employment (“Ministry”), securing a convertible loan commitment in an aggregate principal amount of NZD 1,000 ($660 USD at issuance). Under this agreement, MLNL received NZD 1,000 ($660 USD at issuance) in aggregate principal amount of convertible debt, referred to as the “2022 PGF Loan”. The 2022 PGF Loan bore interest at a fixed rate of 7.47%. Pursuant to the terms of the 2022 PGF Agreement, interest accrued on the 2022 PGF Loan prior to the third anniversary of the issuance thereof was required to be paid in-kind on each anniversary of the issuance date. On each subsequent anniversary date until the maturity date of July 21, 2032, the Company was required to make annual payments comprised of (a) equal amortizing payments of 2022 PGF Loan principal and (b) interest accrued during the anniversary year. All amounts due but not yet paid, including all interest paid in-kind, was set to become due and payable on the maturity date.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incur any debt issuance costs in connection with the 2022 PGF Agreement. The Company accounted for the 2022 PGF Loan using the effective interest method. The effective interest rate of the 2022 PGF Loan was 7.5%.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2026, and in anticipation of the Merger, the Company exercised its unilateral right to prepay the aggregate outstanding principal amount of the 2022 PGF Loan and all accrued unpaid interest thereon. The redemption price of $782 equaled the current carrying amount associated with the 2022 PGF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LSA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2024, the Company entered into a loan and security agreement (“2024 LSA”) with the lender thereto, which provided for delayed draw term loan commitments in an aggregate principal amount of $35,000. The aggregate commitments under the 2024 LSA included (a) a delayed draw term loan facility in an aggregate principal amount of $12,500 (the “2024 LSA First Tranche”), (b) a delayed draw term loan tranche in an aggregate principal amount of $12,500 (the “2024 LSA Second Tranche”), and (c) a delayed draw term loan facility tranche in an aggregate principal amount of $10,000 (the “2024 LSA Third Tranche”). As a condition precedent to issue term loans under the 2024 LSA Third Tranche, the Company achieved certain operational milestones as defined in the 2024 LSA. In connection with the entrance into the 2024 LSA, the Company issued the lender thereto warrants to purchase the Company’s redeemable convertible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28, 2024, August 30, 2024, and October 23, 2024, the Company entered into term loans under the 2024 LSA First, Second, and Third Tranches, in aggregate principal amounts of $12,500, $12,500, and $10,000, respectively (collectively, the “2024 LSA Loans”). The 2024 LSA Loans accrued interest at a fixed rate per annum, compounded monthly, equal to the Prime Rate as of the issuance date thereof plus 5.0%. In addition to the fixed cash interest, the outstanding principal balance of the 2024 LSA Loans accrued interest paid in-kind at 1.5% per annum, compounded monthly. Inclusive of both cash interest and interest paid in-kind, the total nominal interest rate of the 2024 LSA Loans issued under the 2024 LSA First, Second, and Third Tranches was 15%.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2024 LSA Amendment (as defined below), the Company was required to make interest-only payments at the cash interest rate through February 2025, and subsequently, the aggregate principal amount of the 2024 LSA Loans would be amortized and paid down in equal monthly installments, together with cash interest thereon, over the following 24 months until final maturity on January 31, 2027. On the maturity date, all unpaid principal of 2024 LSA Loans, together with cash interest and all interest paid-in kind, was set to become due and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2024 LSA, the Company recorded a debt discount of $622, related to the payment of lender fees and the issuance of preferred stock warrant liabilities which was amortized to interest expense over the life of the 2024 LSA Loans using the effective interest method. The effective interest rates of the 2024 LSA Loans for the First, Second, and Third Tranches was 14.5%, 14.7%, and 14.9%,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the Company and the lender thereto entered into an amendment to the 2024 LSA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into making such amendment, the Company issued warrants to purchase the Company’s redeemable convertible preferred stock with a fair value of $759 (“2024 LSA Amendment Warrants”).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2024 LSA Amendment was accounted for as an extinguishment under ASC 470-50, Modifications and Extinguishments. In accordance with ASC 825 and following the 2024 LSA Amendment, the Company elected to account for the 2024 LSA Loans under the fair value option. The Company elected to record the 2024 LSA Loans under the fair value option to simplify the recordkeeping on an ongoing basis. Prior to the repayment of the 2024 LSA Loans as described below, the lender retained the right to convert up to $5,000 of the outstanding loan balance into shares of the Company’s Series B Prime redeemable convertible preferred stock at any time through June 30, 2027 (the “2024 LSA Conversion Feature”).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and utilizing proceeds generated by the Merger, the Company exercised its unilateral right to prepay the 2024 LSA Loans in full at a contractual redemption price of $28,334 which included the aggregate outstanding principal amount, accrued unpaid interest, and make-whole premiums. The fair value of the 2024 LSA Loans as of the redemption date was $28,334.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Pre-PIPE Bridge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 2025, the Company entered into a convertible note purchase agreement (“Pre-PIPE Bridge Agreement”) with the purchasers thereto, pursuant to which the Company could issue up to $23,445 in aggregate principal amount of unsecured convertible promissory notes (“Pre-PIPE Bridge Notes”). Additionally, pursuant to the Pre-PIPE Bridge Agreement, the Company issued common stock warrants (“Pre-PIPE Bridge Warrants”) to the purchasers thereto and, accordingly, the proceeds received in connection with each issuance were allocated between the Pre-PIPE Bridge Notes and Warrants (refer to Note 9.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series of Pre-PIPE Bridge Notes in an aggregate principal amount of $23,445 between July and August 2025. The Company accounted for the Pre-PIPE Bridge Notes under the fair value option and, accordingly, all issuance costs incurred in connection with the entrance into the Pre-PIPE Bridge Agreement and the issuance of Pre-PIPE Bridge Notes thereunder were expensed as incurred. The Company elected to record the Pre-PIPE Bridge Notes under the fair value option based on the short-term maturity of the Pre-PIPE Bridge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13, 2025, and in connection with the Pre-Funded PIPE transaction (as defined below), the Company and the holders of the Pre-PIPE Bridge Notes amended the terms of the Pre-PIPE Bridge Notes to more closely align with those of the Pre-Funded PIPE Notes (“Pre-PIPE Bridge Amendment”). As the Pre-PIPE Bridge Notes were accounted for under the fair value option, all amendment costs were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Pre-PIPE Bridge Amendment, the Pre-PIPE Bridge Notes accrued interest at 12.0% per annum, compounded semi-annually, until the principal amount of Pre-PIPE Bridge Notes and all interest accrued thereon was repaid or converted. The Pre-PIPE Bridge Amendment did not change the maturity date of the Pre-PIPE Bridge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Pre-PIPE Bridge Amendment and the terms of the Business Combination Agreement, in connection with the Closing of the Merger, the unpaid principal amount of Pre-PIPE Bridge Notes, together with accrued unpaid interest thereon, automatically converted into shares of Series A Preferred Stock. Refer to Note 3. Reverse Recapitalization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PIPE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13, 2025, the Company entered into a securities purchase agreement (“Pre-Funded PIPE Agreement”) with the purchasers thereto, pursuant to which the Company agreed to sell, and the purchasers agreed to purchase, unsecured convertible promissory notes and common stock warrants.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Pre-Funded PIPE Agreement, the Company issued $64,706 in aggregate principal amount of unsecured convertible promissory notes (“Pre-Funded PIPE Notes”) and common stock warrants (“Pre-Funded PIPE Warrants”) for total proceeds of $55,000 which were allocated between the Pre-Funded PIPE Notes and Warrants. The Company accounted for the Pre-Funded PIPE Notes under the fair value option and, accordingly, all issuance costs incurred in connection with the entrance into the Pre-Funded PIPE Agreement and the issuance of Pre-Funded PIPE Notes thereunder were expensed as incurred. The Company elected to record the Pre-Funded PIPE Notes under the fair value option based on the short-term maturity of the Pre-Funded PIPE Notes.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Pre-Funded PIPE Agreement contained a provision that provided a purchaser thereunder, who was an affiliate of Inflection Point, the right (“Purchaser Right”) to require the Company to issue and sell up to $29,412 in aggregate principal amount of additional Pre-Funded PIPE Notes and accompanying Pre-Funded PIPE Warrants (“Purchaser Right Notes”). The Purchaser Right was exercisable at any time prior to December 31, 2025, so long as the BCA was not terminated, and expired unexercised on December 31, 2025. The Purchaser Right was a written call option accounted for initially and subsequently at fair value, with changes in fair value recognized in the condensed consolidated statements of operations. The Purchaser Right had a de minimis fair value as of the execution of the Pre-Funded PIPE Agreement and had a de minimis fair value at its expiration on December 31,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17, 2025, the Pre-Funded PIPE Agreement was amended to permit the issuance of incremental Pre-Funded PIPE Notes and Warrants under the original terms of the Pre-Funded PIPE Agreement (“Pre-Funded PIPE Amendment”). No terms of the issued and outstanding Pre-Funded PIPE Notes and Warrants were modified in connection with the Pre-Funded PIPE Amendment. On November 18, 2025 and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Warrants. The Company accounted for the incremental Pre-Funded PIPE Notes under the fair value option and, accordingly, all amendment costs were expensed as incurred. The Company elected to record the incremental Pre-Funded PIPE Notes under the fair value option based on the short-term maturity of the Pre-Funded PIPE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Pre-Funded PIPE Notes accrued interest at a fixed rate of 12.0% per annum, compounded semi-annually, until the principal amount of Pre-Funded PIPE Notes and all interest accrued thereon was repaid or converted. All principal and accrued interest thereon was set to become due and payable upon demand by the purchasers thereof on or after August 13, 2026, unless earlier converted or repaid.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Pre-Funded PIPE Agreement and the terms of the Business Combination Agreement, in connection with the Closing of the Merger, the unpaid principal amount of Pre-Funded PIPE Notes, together with accrued unpaid interest thereon, automatically converted into shares of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issued in connection with the 2019 loan and security agreement (“2019 LSA Warrants”), the 2021 LSA Warrants, and the 2024 LSA Warrants were determined to meet the criteria for liability classification pursuant to ASC 480 as the underlying warrant shares, the Company’s redeemable convertible preferred stock, were redeemable outside the control of the Company and were accordingly classified as mezzanine equity. The 2019 LSA Warrants, 2021 LSA Warrants, and 2024 LSA Warrants were therefore required to be initially and subsequently measured at fair value with changes in fair value presented in the condensed consolidated statements of operations. In August 2025 and in accordance with the terms thereof, the holder of the 2024 LSA Warrants elected to exchange all of the 2024 LSA Warrants for Pre-PIPE Bridge Notes and accompanying Pre-PIPE Bridge Warrants. Therefore, none of the 2024 LSA Warrants were issued and outstanding as of immediately prior to the consummation of the Merger.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LSA Amendment Warrants were determined to meet the criteria for liability classification pursuant to ASC 480 as the terms thereof permitted the holder to exchange the 2024 LSA Amendment Warrants for instruments issued in any bridge financing occurring after the issuance date thereof, which included the issuance of convertible debt instruments. The 2024 LSA Amendment Warrants were therefore required to be initially and subsequently measured at fair value with changes in fair value presented in the condensed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Pre-PIPE Bridge Warrants and Pre-Funded PIPE Warrants were determined to meet the criteria for liability classification pursuant to ASC 815 because certain settlement adjustments prevented them from meeting the fixed-for-fixed equity classification criteria. The Pre-PIPE Bridge Warrants and Pre-Funded PIPE Warrants were therefore required to be initially and subsequently measured at fair value with changes in fair value presented in the condensed consolidated statements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and immediately prior to the Merger, the 2019 LSA Warrants and 2021 LSA Warrants were automatically exercised on a cashless basis pursuant to their applicable terms for shares of the Company’s Series Seed Prime redeemable convertible preferred stock and Series B Prime redeemable convertible preferred stock, respectively. In accordance with the terms thereof, the 2024 LSA Amendment Warrants were not exercised prior to the Merger and were exchanged for shares of Series A Preferred Stock and PIPE Warrants in connection with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and the applicable terms thereof, the Pre-PIPE Bridge and Pre-Funded PIPE Warrants were converted into PIPE Warrants to purchase shares of the Company’s common stock in connection with the Merger. Additionally, PIPE Warrants were issued for cash in connection with the Closing PIPE.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PIPE Warrants were determined to meet the criteria for liability classification pursuant to ASC 815 because certain settlement adjustments prevent them from meeting the fixed-for-fixed equity classification criteria. The PIPE Warrants are therefore required to be initially and subsequently measured at fair value with changes in fair value presented in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warrants to purchase common stock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of Underlying</w:t>
            </w: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0" w:type="dxa"/>
            <w:vAlign w:val="bottom"/>
          </w:tcPr>
          <w:p>
            <w:pPr>
              <w:spacing w:after="0"/>
              <w:rPr>
                <w:sz w:val="18"/>
                <w:szCs w:val="18"/>
                <w:color w:val="auto"/>
              </w:rPr>
            </w:pPr>
          </w:p>
        </w:tc>
      </w:tr>
      <w:tr>
        <w:trPr>
          <w:trHeight w:val="245"/>
        </w:trPr>
        <w:tc>
          <w:tcPr>
            <w:tcW w:w="48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 Shares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3"/>
        </w:trPr>
        <w:tc>
          <w:tcPr>
            <w:tcW w:w="4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PIPE Warrants</w:t>
            </w:r>
            <w:r>
              <w:rPr>
                <w:rFonts w:ascii="Times New Roman" w:cs="Times New Roman" w:eastAsia="Times New Roman" w:hAnsi="Times New Roman"/>
                <w:sz w:val="28"/>
                <w:szCs w:val="28"/>
                <w:color w:val="auto"/>
                <w:vertAlign w:val="superscript"/>
              </w:rPr>
              <w:t>(1)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21,157,300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2031</w:t>
            </w:r>
          </w:p>
        </w:tc>
      </w:tr>
    </w:tbl>
    <w:p>
      <w:pPr>
        <w:spacing w:after="0" w:line="201" w:lineRule="exact"/>
        <w:rPr>
          <w:sz w:val="20"/>
          <w:szCs w:val="20"/>
          <w:color w:val="auto"/>
        </w:rPr>
      </w:pPr>
    </w:p>
    <w:p>
      <w:pPr>
        <w:jc w:val="both"/>
        <w:ind w:firstLine="8"/>
        <w:spacing w:after="0" w:line="231" w:lineRule="auto"/>
        <w:tabs>
          <w:tab w:leader="none" w:pos="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twenty-first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date that is six months after the Closing Date, the 20-day volume-weighted average price of common stock is less than the exercise price then in effect, the exercise price shall be reduced to the greater of (i) such volume-weighted average price and (ii) $5.00. The exercise price of PIPE Warrants is also subject to certain customary adjustments for stock dividends and splits, dilutive issuances of common stock, subsequent rights offerings, pro rata distributions, and fundamental transactions.</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gain on the change in fair value of warrant liabilities of $26,555 and $46, respectively. Refer to Note 5. Fair Value Measurements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Mezzanine Equity and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Legacy Merlin’s redeemable convertible preferred stock automatically converted, on a one-to-one basis, into shares of Legacy Merlin common stock immediately prior to the consummation of the Merger. Upon the Closing of the Merger, all issued and outstanding shares of Legacy Merlin’s common stock were exchanged for common stock at an exchange ratio of approximately 3.102.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of the exchange ratio on Legacy Merlin’s redeemable convertible preferred stock, after the exercise of Legacy Merlin warrants to acquire its redeemable convertible preferred stock (refer to Note 9. Warrants), and the issuance of common stock following conversion of the redeemable convertible preferred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Issued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of Legacy Merlin Redeemable Convertible Preferred Stock</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Before Closing</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redeemable convertible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3,293,745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3.102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10,215,578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7,493,114</w:t>
            </w: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23,239,955</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928,217</w:t>
            </w:r>
          </w:p>
        </w:tc>
        <w:tc>
          <w:tcPr>
            <w:tcW w:w="13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2,878,873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4,718,309</w:t>
            </w: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14,633,876</w:t>
            </w:r>
          </w:p>
        </w:tc>
        <w:tc>
          <w:tcPr>
            <w:tcW w:w="80" w:type="dxa"/>
            <w:vAlign w:val="bottom"/>
          </w:tcPr>
          <w:p>
            <w:pPr>
              <w:spacing w:after="0"/>
              <w:rPr>
                <w:sz w:val="18"/>
                <w:szCs w:val="18"/>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redeemable convertible preferred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947,631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2,939,086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17,381,016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53,907,368</w:t>
            </w:r>
          </w:p>
        </w:tc>
        <w:tc>
          <w:tcPr>
            <w:tcW w:w="80" w:type="dxa"/>
            <w:vAlign w:val="bottom"/>
          </w:tcPr>
          <w:p>
            <w:pPr>
              <w:spacing w:after="0"/>
              <w:rPr>
                <w:sz w:val="20"/>
                <w:szCs w:val="20"/>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800,000,000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715,455,443 shares of common stock are reserved for the conversion of Series A Preferred Stock and exercise of stock options and PIPE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authorized 50,000,000 shares of Series A Preferred Stock, $0.0001 par value, each with a stated value of $12.00 (“Stated Value”). As described below, the sum of (i) the Stated Value, (ii) any dividends paid in-kind, and (iii) any cash dividends not yet paid shall be referred to herein as the “Accrued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Series A Preferred Stock were issued in connection with the Closing PIPE (refer to Note 3. Reverse Recapitalization), the exchange of 2024 LSA Amendment Warrants (refer to Note 9. Warrants), and the conversion of Pre-PIPE Bridge and Pre-Funded PIPE Notes issued and outstanding as of the Closing Date (refer to Note 8. Debt).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after the Merger, certain holders of Series A Preferred Stock converted 3,571 shares of Series A Preferred Stock into 3,579 shares of common stock. As of March 31, 2026, 21,711,880 shares of Series A Preferred Stock remained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below, the Series A Preferred Stock is redeemable outside the control of the Company and is accordingly classified in mezzanine equity. The Company accretes changes in the redemption amount from the Closing Date to the earliest redemption date, which is five years from the Closing Date, using the effective interest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has the following rights and preferences: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all matters subject to the authorization of the holders of common stock, the holders of Series A Preferred Stock are entitled to vote together with holders of common stock on an as-converted basis. Further, so long as at least 20% of the Series A Preferred Stock issued as of the Closing Date remain outstanding, the holders of Series A Preferred Stock are granted certain customary protective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 cumulative, semi-annually compounding dividends, and are accrued whether or not earned or declared and whether or not there are any earnings, profits, surplus, or other funds or assets available for payment thereof (“Series A Accrued Dividends”). Series A Accrued Dividends accrue on the Accrued Value of each share of Series A Preferred Stock, at the Company’s election, (i) at 10.0% if paid in cash or (ii) at 12.0% if paid in-kind. The Company shall not make any dividends on any common stock unless the holders of Series A Preferred Stock also receive (i) all Series A Accrued Dividends and (ii) participating dividends on an as-converted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liquidation, dissolution or winding up of the Company or upon the occurrence of a Deemed Liquidation Event (as defined in the Company’s Certificate of Designation), the holders of Series A Preferred Stock shall be entitled to receive, prior to any payments to holders of common stock, the greater of (i) the Accrued Value and (ii) the amount that would have been payable to holders of Series A Preferred Stock as if such shares converted to common stock immediately prior to such event. After such preferential payments are made, the remaining assets of the Company are to be distributed amongst the holders of Series A Preferred Stock and common stock pro rata, on an as-converted basis. The total amount payable to holders of Series A Preferred Stock is hereinafter referred to as the “Liquidation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share of Series A Preferred Stock is convertible at any time, at the option of the holder, into a whole number of shares of Company Stock determined by dividing (i) the Accrued Value by (ii) the then-applicable conversion price. The conversion price is initially $12.00, subject to customary adjustments for stock dividends and splits, dilutive issuances of common stock, subsequent rights offerings, pro rata distributions, and fundamental transactions.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Additionally, if on the twenty-first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date that is six months after the Closing Date, the 20-day volume-weighted average price of common stock is less than the conversion price then in effect, the conversion price shall be reduced to the greater of (i) such volume-weighted average price and (ii) $5.00.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prohibited by applicable laws, the Series A Preferred Stock is redeemable at the option of the holder commencing after the fifth anniversary of the Closing Date at a redemption price equal to the Accrued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prohibited by applicable laws, the Company shall retain the option to redeem the Series A Preferred Stock at any time, as follows:</w:t>
      </w:r>
    </w:p>
    <w:p>
      <w:pPr>
        <w:spacing w:after="0" w:line="225" w:lineRule="exact"/>
        <w:rPr>
          <w:sz w:val="20"/>
          <w:szCs w:val="20"/>
          <w:color w:val="auto"/>
        </w:rPr>
      </w:pPr>
    </w:p>
    <w:p>
      <w:pPr>
        <w:ind w:left="5540" w:right="2780" w:hanging="5208"/>
        <w:spacing w:after="0" w:line="783" w:lineRule="auto"/>
        <w:tabs>
          <w:tab w:leader="none" w:pos="6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anniversary of the Closing Date, at a redemption price equal to 150% of the Accrued Value;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54"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ind w:left="660" w:hanging="328"/>
        <w:spacing w:after="0"/>
        <w:tabs>
          <w:tab w:leader="none" w:pos="6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first anniversary of the Closing Date, but before the second anniversary, at a redemption price equal to 140% of the Accrued Value;</w:t>
      </w:r>
    </w:p>
    <w:p>
      <w:pPr>
        <w:spacing w:after="0" w:line="236"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second anniversary of the Closing Date, but before the third anniversary, at a redemption price equal to 130% of the Accrued Value;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third anniversary of the Closing Date, but before the fourth anniversary, at a redemption price equal to 120% of the Accrued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fourth anniversary of the Closing Date, but before the fifth anniversary, at a redemption price equal to 110% of the Accrued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fifth anniversary of the Closing Date, at a redemption price equal to 100% of the Accrued Value.</w:t>
      </w:r>
    </w:p>
    <w:p>
      <w:pPr>
        <w:spacing w:after="0" w:line="2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net loss per share. The Company’s Series A Preferred Stock and PIPE Warrants are considered participating securities because they entitle holders to participate in dividends to common stockholders, on an as-converted and as-exercised basis, respectively. Under the two-class method, earnings of the Company are allocated between common stockholders and participating securities based on the weighted-average number of shares of common stock and participating securities outstanding during the relevant period. The participating securities do not have a contractual obligation to share in the losses of the Company. Therefore, net loss is fully attributable to the Company’s common stockholders for the three months ended March 31, 2026 and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the Company’s common stockholders by the weighted-average number of shares outstanding during the period. Diluted net loss per share is computed by dividing net loss attributable to the Company’s common stockholders by the weighted-average number of shares after adjusting for potential dilution related to the conversion of all dilutive securities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numerators and denominators of the basic and diluted net loss computations for the Company’s common stock were calculated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Stock dividends and accretion</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72,421,272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70,947,705</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for the periods presented due to their anti-dilutive effect:</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6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21,818,962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7,353,451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8,538,342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2019 LSA Warrants</w:t>
            </w:r>
          </w:p>
        </w:tc>
        <w:tc>
          <w:tcPr>
            <w:tcW w:w="48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449,489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LSA Warrants</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251,805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2024 LSA Warrants</w:t>
            </w:r>
          </w:p>
        </w:tc>
        <w:tc>
          <w:tcPr>
            <w:tcW w:w="48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696,940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LSA Conversion Feature</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663,754</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PIPE Warrants</w:t>
            </w:r>
          </w:p>
        </w:tc>
        <w:tc>
          <w:tcPr>
            <w:tcW w:w="48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21,157,300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8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50,329,713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10,623,937</w:t>
            </w:r>
          </w:p>
        </w:tc>
        <w:tc>
          <w:tcPr>
            <w:tcW w:w="0" w:type="dxa"/>
            <w:vAlign w:val="bottom"/>
          </w:tcPr>
          <w:p>
            <w:pPr>
              <w:spacing w:after="0"/>
              <w:rPr>
                <w:sz w:val="1"/>
                <w:szCs w:val="1"/>
                <w:color w:val="auto"/>
              </w:rPr>
            </w:pPr>
          </w:p>
        </w:tc>
      </w:tr>
      <w:tr>
        <w:trPr>
          <w:trHeight w:val="21"/>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2018, the Board of Directors adopted the Merlin Labs 2018 Equity Incentive Plan (“the Plan”). Under the terms of the Plan, incentive stock options (“ISOs”) may be granted to employees of the Company and nonqualified stock options or restricted stock awards may be granted to directors, consultants, employees and officers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authorized common stock includes 10,386,879 shares of common stock reserved for the issuance of options under the Plan, of which 1,677,207 shares are available for future grants.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Plan during the three months ended March 31, 2026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4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8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4,400,730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 as adjusted</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6,494,810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(406,385)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7,353,451</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CCEEFF"/>
              <w:bottom w:val="single" w:sz="8" w:color="CCEEFF"/>
            </w:tcBorders>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3.40</w:t>
            </w:r>
          </w:p>
        </w:tc>
        <w:tc>
          <w:tcPr>
            <w:tcW w:w="1520" w:type="dxa"/>
            <w:vAlign w:val="bottom"/>
            <w:tcBorders>
              <w:top w:val="single" w:sz="8" w:color="CCEEFF"/>
              <w:bottom w:val="single" w:sz="8" w:color="CCEEFF"/>
            </w:tcBorders>
            <w:gridSpan w:val="3"/>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top w:val="single" w:sz="8" w:color="CCEEFF"/>
              <w:bottom w:val="single" w:sz="8" w:color="CCEEFF"/>
            </w:tcBorders>
          </w:tcPr>
          <w:p>
            <w:pPr>
              <w:spacing w:after="0"/>
              <w:rPr>
                <w:sz w:val="21"/>
                <w:szCs w:val="21"/>
                <w:color w:val="auto"/>
              </w:rPr>
            </w:pPr>
          </w:p>
        </w:tc>
        <w:tc>
          <w:tcPr>
            <w:tcW w:w="108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29,046</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4,549,732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26,206</w:t>
            </w:r>
          </w:p>
        </w:tc>
      </w:tr>
      <w:tr>
        <w:trPr>
          <w:trHeight w:val="20"/>
        </w:trPr>
        <w:tc>
          <w:tcPr>
            <w:tcW w:w="5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2026 and 2025 amounted to $11.73 and $3.69,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option holders of the Company exercised 406,385 and 38,617 common stock options, respectively, in exchange for cash proceeds of $226 and $10,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March 31, 2026 and 2025 amounted to $3,058 and $85,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stock-based compensation expense amounted to $1,295 and $513, respectively, which is included in the condensed consolidated statements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is $7,024 of unrecognized compensation expense related to unvested stock-based compensation arrangements granted under the Plan. That cost is expected to be recognized over a weighted average period of 1.33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Black-Scholes option-pricing model to value option grants on the date of grant and to determine the related compensation expense. The assumptions used in calculating the fair value of stock-based payment awards represent management’s best estimations. Prior to the Merger, the Company based its expected volatility on the volatilities of certain publicly-traded peer companies as it was a privately-held company and therefore lacked company-specific historical and implied volatility information. After the Merger,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term of options granted is determined based on the average of the vesting term and the contractual lives of all options awarded. The expected dividend yield assumption is based on the Company’s history and expectation of dividend payouts.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exercise prices for options granted, the Company has considered the fair value of the common stock as of the measurement date. Prior to the Merger, the fair value of the common stock has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the stock-based awards: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4.01%-4.06%</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42.25%</w:t>
            </w:r>
          </w:p>
        </w:tc>
        <w:tc>
          <w:tcPr>
            <w:tcW w:w="4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45.67%-47.475%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5.18-5.99</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$3.60-$3.77</w:t>
            </w:r>
          </w:p>
        </w:tc>
        <w:tc>
          <w:tcPr>
            <w:tcW w:w="100" w:type="dxa"/>
            <w:vAlign w:val="bottom"/>
            <w:shd w:val="clear" w:color="auto" w:fill="CCEEFF"/>
          </w:tcPr>
          <w:p>
            <w:pPr>
              <w:spacing w:after="0"/>
              <w:rPr>
                <w:sz w:val="18"/>
                <w:szCs w:val="18"/>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stock-based compensation expense as presented within the consolidated statements of operations was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8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100,000 shares of common stock to non-employees, which were valued on the grant date based on the opening price of MRLN. As of March 31, 2026, the shares of common stock have not yet been issued to the non-employees.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income taxes of $48 and $1 for the three months ended March 31, 2026 and 2025, respectively, yielding effective tax rates of (0.05)% and (0.01)%, respectively. The Company is subject to income tax in the U.S. as well as other tax jurisdictions in which it conducts business. The Company’s effective tax rates for the three months ended March 31, 2026 and 2025 differs from the U.S. statutory rate primarily due to the effect of the valuation allowance recorded against the Company’s net operating losses.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has not recognized any liabilities for uncertain tax positions in its unaudited condensed consolidated financial statements. The Company files tax returns as prescribed by the tax laws of the jurisdictions in which it operates.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Contingencies, and 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March 31, 2026 and December 31, 2025, no amounts have been accrued related to such indemnification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The CODM uses consolidated net loss to evaluate performance, allocate resources, set incentive compensation targets, and plan for future periods. The measure of segment assets is reported on the condensed consolidated balance sheets as total consolidated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which were regularly provided to the CODM:</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Aircraft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contract loss provision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agreement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26,555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(87,824)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segment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(90,371)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and operating lease right-of-use assets, net by geographic area were as follows: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4,865</w:t>
            </w: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covering substantially all of its employees who meet certain eligibility requirements. The Company, at the discretion of the Board of Directors, may make contributions to the plan. During the three months ended March 31, 2026 and 2025, the Company made contributions to the plan in the amounts of $59 and $54,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 2026, the Company issued 8,000,000 shares of common stock and warrants to purchase 4,000,000 shares of common stock via a PIPE transaction for aggregate gross proceeds of approximately $80,000. The exercise price of the warrants is $6.67 per share and the warrants will expire five years from issuance.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7"/>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Merlin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unaudited condensed consolidated financial statements included in this Quarterly Report and our audited financial statements, unaudited pro forma financial statements and the “Management’s Discussion and Analysis of Financial Condition and Results of Operations” filed as Exhibit 99.1, Exhibit 99.2 and Exhibit 99.3, respectively, to our Current Report on Form 8-K filed with the Securities and Exchange Commission on April 29, 2026 (the “Super 8-K”). This discussion may contain forward-looking statements based upon current expectations that involve risks and uncertainties. Merlin’s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the final prospectus, dated May 13, 2026 (the “Prospectus”), filed with the Securities and Exchange Commission (the “SEC”), as updated by the factors disclosed in the section titled “Risk Factors” in our Super 8-K and in this Quarterly Report on Form 10-Q.</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On August 13, 2025, Inflection Point Acquisition Corp. IV (f/k/a Bleichroeder Acquisition Corp. I), a Cayman Islands exempted company (“Inflection Point”) entered into a Business Combination Agreement, dated as of August 13, 2025 (as amended on March 14, 2026, the “Business Combination Agreement”), by and among Inflection Point, IPDX Merger Sub, Inc., a Delaware corporation and a direct, wholly-owned subsidiary of Inflection Point (“Merger Sub”), and Merlin Labs, Inc. (referred to herein prior to the Business Combination as “Legacy Merlin” and subsequent to the Business Combination as “Merlin Labs”). On March 16, 2026 (the “Closing Date”), as contemplated by the Business Combination Agreement, Inflection Point, Merger Sub, and Legacy Merlin consummated the transactions contemplated by the Business Combination Agreement and its related agreements (collectively, the “Business Combination”), pursuant to which, among other things, Merger Sub merged with and into Legacy Merlin (the “Merger”), with Merlin Labs continuing as the surviving corporation and a wholly-owned subsidiary of the Company, as further described below.</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vision is to be at the forefront of advancing autonomous flight technology and positioning ourselves as the leading U.S.-based developer of autonomy solutions for fixed-wing aircraft. Our non-human pilot system, Merlin Pilot, integrates cutting-edge hardware and software to deliver a comprehensive autonomous flight solution that spans the entire flight process, from takeoff to touchdown. By operating with reduced crew or autonomously, we believe Merlin Pilot can significantly enhance flight efficiency, enabling more flights per day or optimized routes, thereby reducing operational costs. This translates to potential savings of millions of dollars per aircraft annually, offering substantial financial benefits to large fleet operators.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Merlin Pilot not only addresses the global pilot shortage but also enhances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growing our team of engineers with deep expertise in autonomy and certified software for both military and civilian applications. We are a prime contractor on an Indefinite Delivery, Indefinite Quantity (“IDIQ”) contract with a ceiling value of up to $105 million and we have identified approximately $3.0 billion pipeline of opportunities, supporting robust growth in both military and civilian markets. Our active certification program includes an issued certification basis and a certification-conformed system with approved military airworthiness plans, underscoring our commitment to delivering reliable and safe autonomous flight solutions.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Merlin Pilot is an advanced automation system designed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go-to-market strategy is designed around mastering traditional aircraft markets and building a solid foundation of revenue and expertise. Our goal is to sell to both the military and civil sectors.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chosen as the sole prime contractor for a $105 million IDIQ contract to integrate autonomous capabilities into the C-130J for the U.S. Air Force, which is the most widely used military transport aircraft globally. This contract covers the initial adaptation of the platform and can be extended to both low-rate and full-rate production for all United States Air Force Special Operations Command (“USSOCOM”) fixed-wing aircraft.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deploy the first Merlin Pilot on either commercial or military aircraft within the next three years. We incurred net losses of $90,419 thousand and $12,733 thousand for the three months ended March 31, 2026 and 2025, respectively. We expect to continue to generate losses over the next few years as we continue to invest in research and development, expand our facilities and expand the technical capabilities of our engineering function. We expect that our existing cash and cash equivalents will be sufficient to meet our capital expenditure and working capital requirements for a period of at least twelve months from the issuance of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w:t>
      </w:r>
    </w:p>
    <w:p>
      <w:pPr>
        <w:spacing w:after="0" w:line="178" w:lineRule="exact"/>
        <w:rPr>
          <w:sz w:val="20"/>
          <w:szCs w:val="20"/>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Merlin Pilot Sale and Installation Fees</w:t>
      </w:r>
      <w:r>
        <w:rPr>
          <w:rFonts w:ascii="Times New Roman" w:cs="Times New Roman" w:eastAsia="Times New Roman" w:hAnsi="Times New Roman"/>
          <w:sz w:val="18"/>
          <w:szCs w:val="18"/>
          <w:color w:val="auto"/>
        </w:rPr>
        <w:t>: The anticipated revenue stream from the sale and installation of Merlin Pilot includes licensing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fees for the installation and implementation of our technology on an aircraft. This type of revenue would be incurred a single time and would be non-recurring and varies based on the aircraft type. Over time, we expect to be able to scale our engineering and technical installation and implementation capabilities to reduce costs and increase our margins on this type of revenue.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 Support Fees</w:t>
      </w:r>
      <w:r>
        <w:rPr>
          <w:rFonts w:ascii="Times New Roman" w:cs="Times New Roman" w:eastAsia="Times New Roman" w:hAnsi="Times New Roman"/>
          <w:sz w:val="18"/>
          <w:szCs w:val="18"/>
          <w:color w:val="auto"/>
        </w:rPr>
        <w:t>: The anticipated revenue stream from software support includes fees generated from providing ongoing technical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support to the Merlin Pilot. Under our business model, anticipated software license agreements would typically include a lifetime right of use and would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Ancillary Fees</w:t>
      </w:r>
      <w:r>
        <w:rPr>
          <w:rFonts w:ascii="Times New Roman" w:cs="Times New Roman" w:eastAsia="Times New Roman" w:hAnsi="Times New Roman"/>
          <w:sz w:val="18"/>
          <w:szCs w:val="18"/>
          <w:color w:val="auto"/>
        </w:rPr>
        <w:t>: We also intend to offer ancillary services designed to meet the needs of our customers. In doing so, we intend to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insights we’re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which can further optimize routes and individual aircraft performance. We will continue to analyze the possibility of offering additional services as we scale, and the pricing of such services will be dependent on their wide scale acceptability, regulatory approvals and the costs associated with offering such services.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generate revenues from each of the three revenue streams discussed above, we do not expect to generate revenues from all three simultaneously until we’ve achieved scale in our business. Rather, our growth strategy is structured around a phased implementation approach to ensure efficient deployment and scalability of our business model:</w:t>
      </w:r>
    </w:p>
    <w:p>
      <w:pPr>
        <w:spacing w:after="0" w:line="174"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Phase 1 — Adapt</w:t>
      </w:r>
      <w:r>
        <w:rPr>
          <w:rFonts w:ascii="Times New Roman" w:cs="Times New Roman" w:eastAsia="Times New Roman" w:hAnsi="Times New Roman"/>
          <w:sz w:val="18"/>
          <w:szCs w:val="18"/>
          <w:color w:val="auto"/>
        </w:rPr>
        <w:t>: During this phase, our engineers are tailoring the core Merlin Pilot system to specific platforms and mission profiles. This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involves non-recurring engineering funding for each aircraft type with a scalable engineering process over time.</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Phase 2 — Integrate</w:t>
      </w:r>
      <w:r>
        <w:rPr>
          <w:rFonts w:ascii="Times New Roman" w:cs="Times New Roman" w:eastAsia="Times New Roman" w:hAnsi="Times New Roman"/>
          <w:sz w:val="18"/>
          <w:szCs w:val="18"/>
          <w:color w:val="auto"/>
        </w:rPr>
        <w:t>: During this phase, the Merlin Pilot system will be integrated onto customer platforms. We may include the use of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allows us to scale our programs effectively.</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Phase 3 — License</w:t>
      </w:r>
      <w:r>
        <w:rPr>
          <w:rFonts w:ascii="Times New Roman" w:cs="Times New Roman" w:eastAsia="Times New Roman" w:hAnsi="Times New Roman"/>
          <w:sz w:val="18"/>
          <w:szCs w:val="18"/>
          <w:color w:val="auto"/>
        </w:rPr>
        <w:t>: During this phase, we will offer “Autonomy as a Service” to our installed base of aircraft at a pre-negotiated annual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software updates and ongoing support for the Merlin software.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we’ve achieved scale, we expect to generate concurrent revenue from all three of the revenue streams listed above as we deploy our technology across both military and civilian sectors, including both in the United States and globally.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future success and financial performance depend on a number of factors that present significant opportunities for our business, but also pose risks and challenges, including those described in the section of the 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commence and expand commercial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developing a pipeline of potential customers and partners that we expect will play an integral role in bringing our technology to market. We currently depend on the U.S. government for funding given that they’re our single and largest customer. If the U.S. government were to stop the support of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Widespread acceptance of autonomous flight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capitalize on government expenditures in military defense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time, we expect political support for military innovation and technology to increase, particularly as the military adopts cutting edge technologies such as autonomous flight. If political support for the prioritization of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and maintain regulatory approvals at federal, state and local levels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capacity for continued growth and ability to achieve and maintain profitability depends in large part on our ability to operate effectively in multiple jurisdictions, including on an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it relates to autonomous commercial aircraft, as well as matters related to insurance requirements and community support. We believe that we have an industry-leading licensing team of professionals who are in regular communication with the U.S. Federal Aviation Administration and other regulators, and our success will depend on our licensing team’s ability to continue to obtain and maintain regulatory approvals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services offerings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offer customers a diversified suite of services throughout the life of the autonomous aircraft, beginning at the time in which we’ve successfully installed the Merlin Pilot and it starts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additional capital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considerations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revenue from long-term contracts for the delivery of our Merlin Pilot software and supporting hardware. In order to satisfy these contracts we undertake engineering for research, design, development, manufacturing, integration and sustainment of advanced auto-piloting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consists primarily of labor, materials, travel, subcontractor costs and other expenses incurred directly in the execution of specific contracts.</w:t>
      </w:r>
    </w:p>
    <w:p>
      <w:pPr>
        <w:spacing w:after="0" w:line="162" w:lineRule="exact"/>
        <w:rPr>
          <w:sz w:val="20"/>
          <w:szCs w:val="20"/>
          <w:color w:val="auto"/>
        </w:rPr>
      </w:pPr>
    </w:p>
    <w:p>
      <w:pPr>
        <w:jc w:val="both"/>
        <w:ind w:firstLine="7"/>
        <w:spacing w:after="0" w:line="266" w:lineRule="auto"/>
        <w:rPr>
          <w:sz w:val="20"/>
          <w:szCs w:val="20"/>
          <w:color w:val="auto"/>
        </w:rPr>
      </w:pPr>
      <w:r>
        <w:rPr>
          <w:rFonts w:ascii="Times New Roman" w:cs="Times New Roman" w:eastAsia="Times New Roman" w:hAnsi="Times New Roman"/>
          <w:sz w:val="18"/>
          <w:szCs w:val="18"/>
          <w:color w:val="auto"/>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Loss Adjustments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contract loss provision liability when the estimated total costs of any contracts are greater than the net contract revenues and recognize the entire estimated loss in the period the loss becomes known. As part of our periodic reassessment of the estimated cost to deliver on these contracts, if we determine the estimated costs will be lower we may adjust this contract loss provision to reflect the revised estimate.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third-parties, where the Company is paid for research and development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personnel-related costs directly associated with our sales and marketing staff, including salaries, benefits, bonuses, commissions, allocated overhead costs, and stock-based compensation. Sales and marketing expenses also include advertising costs and other expenses associated with our marketing and business development programs. In addition, sales and marketing expenses consist of travel-related expenses, software services dedicated for use by our sales and marketing organizations and outside services contracted for sales and marketing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income earned on cash and cash equivalents balances held in interest bearing time and money market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on our term borrowings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consists of gains and losses on the disposal of assets and gains and losses from foreign currency transactions and remeasurements of foreign currency-denominated monetary assets and liabilities to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 consists of gains and losses resulting from a change in fair value of our warrant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Promissory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 in fair value of convertible promissory notes consists of gains and losses resulting from a change in fair value of our convertible promissory notes, together with interest accrued on those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Long-Term Debt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 in fair value of long-term debt consists of gains and losses resulting from a change in fair value of our long-term debt, together with interest accrued on those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fiscal periods presented. The period-to-period comparison of financial results is not necessarily indicative of future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loss adjustments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14,092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28,825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11,558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2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non-U.S. government customers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2026, increased by $134 thousand, or 15.4%, to $1,002 thousand compared to $868 thousand for the three months ended March 31, 2025. This increase was primarily due to additional work completed under our USSOCOM Contract for the three months ended March 31, 2026, relative to the amount of work completed under our USSOCOM contract for the three months ended March 31, 2025. We expect the USSOCOM Contract to be a key driver of revenue growth in future periods.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129.7%</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March 31, 2026, increased by $926 thousand, or 129.7%, to $1,640 thousand compared to $714 thousand for the three months ended March 31, 2025. This increase was primarily the result of subcontractor costs incurred, and other direct charges to cost of revenue associated with our USSOCOM Contract under which we completed more work for the three months ended March 31, 2026 relative to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Loss Adjustments</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loss adjustments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loss adjustments for the three months ended March 31, 2026, increased to $2,451 thousand compared to the three months ended March 31, 2025, due to our revision of the estimate of total internal and subcontractor costs to be incurred in the delivery of the USSOCOM Contract which resulted in the recognition of a favorable adjustment to the contract loss provision of $2,451 thousand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by $7,411 thousand, or 111.0% to $14,090 thousand compared to $6,679 thousand in the three months ended March 31, 2025, due to increasing personnel related expenses from hiring of new and highly-skilled engineering talent, outsourcing to an increased number of subject matter experts identified specifically to solve unique engineering challenges, and increased equipment and material costs. We expect our personnel related research and development expenses to increase as we continue to expand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increased by $9,572 thousand, or 211.8% to $14,092 thousand compared to $4,520 thousand in the three months ended March 31, 2025. This was primarily due to an increase in legal, accounting, and other consulting expenses as a result of the Merger and operating as a public company. We expect our general and administrative expenses to increase as we hire additional personnel as we grow our business and operate as a public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for the three months ended March 31, 2026, increased by $284 thousand, or 79.1%, to $643 thousand compared to $359 thousand in the three months ended March 31, 2025. This was primarily due to increased advertising costs and increased personnel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2026, increased by $216 thousand, or 71.8%, to $517 thousand compared to $301 thousand in the three months ended March 31, 2025, primarily due to higher average cash and cash equivalent balances held in money market mutual funds during 2026 due to the receipt of proceeds from the Merger. Although interest rates may have fluctuated between periods, the increase in interest income was primarily driven by higher average cash balances in 2026 relative to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March 31, 2026, decreased by $1,605 thousand, or 99.4%, to $9 thousand compared to $1,614 thousand in the three months ended March 31, 2025, related to the Company’s election to recognize our term loans (2024 LSA) and related interest costs under the fair value option starting in July 2025. As a result, $956 thousand of cash interest expense related to the 2024 LSA was recognized as a change in fair value of long-term debt rather than in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for the three months ended March 31, 2026, increased by $67 thousand, or 109.8%, to $128 thousand compared to $61 thousand in the three months ended March 31, 2025, primarily driven by an increase in foreign currency losses of $64 thousand.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N/M</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liabilities for the three months ended March 31, 2026, resulted in an increased gain of $26,509 thousand to $26,555 thousand compared to $46 thousand in the three months ended March 31, 2025, primarily due to the issuance of liability classified warrants related to the Pre-PIPE Bridge, the Pre-Funded PIPE, the PIPE and the completion of the Merger on March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Promissory Notes</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in fair value of convertible promissory notes for the three months ended March 31, 2026, increased to $87,824 thousand compared to the three months ended March 31, 2025, due to the issuance of convertible promissory notes related to the Pre-PIPE Bridge and the Pre-Funded PIPE and the completion of the Merger on March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Long-term Debt</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on change in fair value of long-term debt for the three months ended March 31, 2026, increased to $2,470 thousand compared to the three months ended March 31, 2025, due to the election of the fair value option for our amended term loans (2024 LSA).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N/M</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 expense for the three months ended March 31, 2026, increased by $47 thousand to $48 thousand compared to $1 thousand in the three months ended March 31, 2025. This increase in provision for income taxes is primarily driven by an increase in foreign tax expenses for the Merlin Labs NZ Limited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stock-based compensation, equity-based compensation to non-employees, changes in fair value of warrant liabilities, changes in fair value of financial instruments accounted for at fair value, transaction and merger-related costs, and other non-cash items. Changes in fair value of warrant liabilities reflect periodic mark-to-market adjustments that will recur each reporting period as long as warrants remain outstanding and are excluded because they are non-cash and not reflective of our core operating performance. Changes in fair value of convertible promissory notes and long-term debt relate to instruments settled in connection with the Merger are excluded because they are not expected to recur in future periods.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each of these non-GAAP financial measures provide additional metrics to evaluate our operations and, when considered with both our U.S. GAAP results and the reconciliation to the closest comparable U.S. GAAP measures, provide a more complete understanding of our business than could be obtained absent this disclosure. We use the non-GAAP financial measures, together with U.S. GAAP financial measures, such as net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presented here because we believe they are useful to investors in assessing the operating performance of our business without the effect of non-cash items, and other items as detailed below. The non-GAAP financial measures should not be considered in isolation or as alternatives to net income (loss), income (loss) from operations or any other measure of financial performance calculated and prescribed in accordance with U.S. GAAP. Our non-GAAP financial measures may not be comparable to similarly titled measures in other organizations because other organizations may not calculate non-GAAP financial measures in the same manner as we do.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the most directly comparable financial measure presented in accordance with U.S.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(12,733)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payments to non-employees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(26,555)</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87,824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1,236</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and negative cash flows, primarily from the production of our proprietary Merlin Pilot technology. Certain contracts have become loss-making due to variable consideration constraints and contract costs exceeding the contract price. Concurrently, our expenses have risen due to business growth, increased headcount, expanded corporate functions, higher proposal activity, and increased fees for professional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these capital requirements, we expect to rely on access to debt and equity markets. However, our ability to obtain additional funding is subject to market conditions, our operating performance, and market perception of our growth. Our capital needs may also vary materially from current plans if, for example, revenues do not meet expectations, or we incur unforeseen expenditures.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2026, the Company issued 8,000,000 shares of common stock and warrants to purchase 4,000,000 shares of common stock in a private placement for aggregate gross proceeds of approximately $80.0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cash and cash equivalents, together with cash we expect to generate from future operations, will be sufficient to fund our operating expenses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require additional capital to respond to the expected growth in the demand for our offering, technological advancements, competitive dynamics or technologies, customer demands, business opportunities, challenges, acquisitions or unforeseen circumstances and in either the short-term or long-term may need to seek additional equity or debt financing, or enter into credit facilities, which could involve shareholder dilution or restrictive operational covenants. If we are unable to obtain adequate financing or financing on terms satisfactory to us, when we require it, our ability to continue to grow or support our business and to respond to business challenges could be significantly limited. In particular, global events such as international political turmoil, supply chain disruptions, prolonged inflation and rising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(23,644)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(10,563)</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(2,159)</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93,353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94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66,003</w:t>
            </w:r>
          </w:p>
        </w:tc>
        <w:tc>
          <w:tcPr>
            <w:tcW w:w="220" w:type="dxa"/>
            <w:vAlign w:val="bottom"/>
          </w:tcPr>
          <w:p>
            <w:pPr>
              <w:spacing w:after="0"/>
              <w:rPr>
                <w:sz w:val="20"/>
                <w:szCs w:val="20"/>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2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$23,644 thousand, an increase of $10,563 thousand from net cash used in operating activities of $13,081 thousand for the three months ended March 31, 2025. The change in cash used in operations was primarily due to an increase in net loss of $77,686 thousand, a change in non-cash interest expense of $360 thousand, a decrease in change in fair value of warrant liabilities of $26,509 thousand, a change in accounts receivable of $942 thousand, a change in prepaid expenses and other current assets of $1,738 thousand, and an increase in contract loss provision amortization of $2,763 thousand. These changes are offset by an increase in change in fair value of convertible promissory notes of $87,824 thousand, and changes in accounts payable and accrued expenses of $4,035 thousand and $3,253 thousand,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$2,159 thousand, an increase of $2,080 thousand from net cash used in investing activities of $79 thousand for the three months ended March 31, 2025. The change in cash used in investing activities was primarily due to an increase in acquired property and equipment of $2,065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$91,806 thousand, an increase of $93,353 thousand from net cash used in financing activities of $1,547 thousand for the three months ended March 31, 2025. The change in cash flows provided by financing activities was primarily due to an increase in proceeds from issuance of warrants of $48,195 thousand, proceeds from issuance of Series A Preferred stock in connection with the PIPE of $71,805 thousand, and proceeds from issuance of common stock in connection with the Merger of $26,290 thousand. These changes are offset by an increase in repayments of long-term debt of $32,082 thousand, payment of transaction costs related to the issuance of Series A Preferred Stock in connection with the PIPE of $10,482 thousand, payment of transaction costs related to issuance of common stock in connection with the Merger of $8,528 thousand, and payment of costs directly attributable to the Merger of $2,061 thousand.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have no debt obligations, as we paid off the principal amount outstanding of our PGF Loan, our Term Loan (LSA 2021), and our Term Loan (LSA 2024). As of March 31, 2026, restricted cash of $2,569 thousand consists of deposits held at financial institutions that are used to collateralize irrevocable letters of credit required under the Company’s lease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debt obligations are comprised of our PGF Loan with a principal amount of $660 thousand due in 2032, $500 thousand principal amount outstanding under our Term Loan (LSA 2021) that matured in July 2025, and $35,000 thousand principal amount outstanding under our Term Loan (LSA 2024) that was set to mature in January 2027. During the three months ended March 31, 2025, we repaid $250 thousand and $1,307 thousand in principal amount of our Term Loan (LSA 2021) and Term Loan (LSA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our non-cancelable operating lease commitments are $2,419 thousand and $988 thousand, respectively, of which $977 thousand and $657 thousand, respectively, are due in less than one year. Our operating leases relate to our office space, aircraft, motor vehicles, and airport hangar space.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(“U.S.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estimates during the three months ended March 31, 2026, as compared to the critical accounting policies and estimates disclosed in Management’s Discussion and Analysis of Financial Condition and Results of Operations included in our Form 8-K dated and filed with the SEC on March 20,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Status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our consolidated financial statements in the sections titled “Recently Adopted Accounting Pronouncements” and “Recently Issued Accounting Pronouncements Not Yet Adopted” included elsewhere in this Quarterly Report - for a discussion about new accounting pronouncements adopted and not yet adopted as of the date of this report.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not effective at the reasonable assurance level as of March 31, 2026 due to the material weaknesses in our internal control over financial reporting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preparing our consolidated financial statements as of and for the years ended December 31, 2025 and 2024, and the condensed consolidated financial statements for the three months ended March 31,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Specifically, we identified the following material weaknesses: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did not maintain effective controls over the accounting for non-routine and complex transactions including valuation of complex financial instruments, warrant liabilities, and equity transactions associated with de-SPAC capital structure, as a result of which management determined that controls were not operating with sufficient precision and frequency to prevent or detect potential material misstatements in the accounting for such instruments on a timely basis; and,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did not maintain effective controls relating to segregation of duties and the design of review controls operating at a sufficient level of precision, including controls over period-end financial close and non-routine or complex transactions;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did not maintain effective information technology general controls (ITGCs) over logical access to key systems tested supporting financial reporting. During the period, deficiencies in the design and operation of access controls indicate that management did not have effective controls in place to appropriately restrict privileged access, formally provision and deprovision user access, and periodically review user access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control deficiencies, individually and in the aggregate, could result in a misstatement of one or more account balances or disclosures that could lead to a material misstatement of our annual or interim consolidated financial statements, and accordingly, management has determined that these control deficiencies constitute material weaknesses.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Status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is actively engaged in remediating the material weaknesses described above. The following actions have been taken or are in progress as of the date of this filing:</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and training: We have hired and continue to hire personnel with public company accounting experience and are providing targeted training on internal control requirements, complex transaction accounting, and financial reporting obligations.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Segregation of duties: We have begun to implement processes and controls to better identify and manage segregation of duties risks within our accounting and financial reporting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automation: We are evaluating system enhancements to reduce our reliance on manual processes in key areas of our financial close and reporting process.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 engagement: We have engaged an external advisor to assist with evaluating and documenting the design and operating effectiveness of our internal controls and to assist with remediation of identified deficiencies.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designing and maintaining effective internal control over financial reporting is a continuous effort that requires management to anticipate and react to changes in our business, economic and regulatory environments and to expend significant resources. As we continue to evaluate our internal control over financial reporting, we may take additional actions to remediate the material weaknesses or modify the remediation actions described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continue to devote significant time and attention to these remediation efforts, the material weaknesses will not be considered remediated until management completes the design and implementation of the actions described above and the controls operate for a sufficient period of time, and management has concluded, through testing, that these controls are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under “Material Weaknesses in Internal Control over Financial Reporting” and “Remediation Plan and Status”, 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business. We are not currently a party to any legal proceedings that we believe would, individually or in the aggregate, have a material adverse effect on our business, financial condition, results of operations, or cash flows See Part I, Item I “Financial Statements (Unaudited) – Note 14, Commitments and Contingencies, in this Quarterly Report, which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Prospectus. Other than as disclosed below, there have been no material changes to the risk factors described in the Prospectus. If any of the risk factors described in the 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not remediated, or if we experience additional material weaknesses in the future or otherwise fail to maintain effective internal controls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preparing our consolidated financial statements as of and for the years ended December 31, 2025 and 2024, and the condensed consolidated financial statements for the three months ended March 31,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deficiencies, individually and in the aggregate,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In order to remediate these material weaknesses, we have taken and plan to take the following actions:</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and training: We have hired and continue to hire personnel with public company accounting experience and are providing targeted training on internal control requirements, complex transaction accounting, and financial reporting obligations.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Segregation of duties: We have begun to implement processes and controls to better identify and manage segregation of duties risks within our accounting and financial reporting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automation: We are evaluating system enhancements to reduce our reliance on manual processes in key areas of our financial close and reporting process.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 engagement: We have engaged an external advisor to assist with evaluating and documenting the design and operating effectiveness of our internal controls and to assist with remediation of identified deficiencies.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be able to fully remediate these material weaknesses until these steps have been completed, have been operating effectively for a sufficient period of time and management has concluded, through testing, that these controls are effective. We were not required to, and did not, perform an evaluation of our internal control over financial reporting as of December 31, 2025 or any period in accordance with the provisions of the Sarbanes-Oxley Act. Accordingly, we cannot assure you that we have identified all, or that we will not in the future have additional, material weaknesses. Material weaknesses may still exist when we first report on the effectiveness of our internal control over financial reporting as required under Section 404 of the Sarbanes-Oxley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when required,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 Our remediation efforts may be complicated by our recent transition to operating as a public company and by the accounting, valuation and disclosure requirements associated with our capital structure, including our Series A Preferred Stock, Series A Warrants and other non-routine transactions.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in the Company’s Current Report on Form 8-K filed on March 20, 2026, the Company has not sold equity securities in a transaction that is not registered under the Securities Act during the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2024, Inflection Point Acquisition Corp. IV consummated an initial public offering (the “IPO”) of 25,000,000 units, each consisting of one Class A ordinary share, $0.0001 par value, and one right to receive one-tenth of one Class A ordinary share upon the consummation of an initial business combination (the “Units”). The Units sold in the IPO were sold at an offering price of $10.00 per Unit, generating gross proceeds of $250,000,000. Cohen Capital Markets acted as underwriter of the Initial Public Offering. The securities in the offering were registered under the Securities Act on a registration statement on Form S-1 (No. 333-280777). The SEC declared the registration statement effective on October 31, 2024. The funds from the IPO were used as consideration for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6380" w:firstLine="8"/>
        <w:spacing w:after="0" w:line="500" w:lineRule="auto"/>
        <w:tabs>
          <w:tab w:leader="none" w:pos="1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right="2820" w:firstLine="8"/>
        <w:spacing w:after="0" w:line="500" w:lineRule="auto"/>
        <w:tabs>
          <w:tab w:leader="none" w:pos="1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any “Rule 10b5-1 trading arrangement” or “non-Rule 10b5-1 trading arrangement” (as such terms are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right w:val="single" w:sz="8" w:color="CCEEFF"/>
            </w:tcBorders>
            <w:gridSpan w:val="11"/>
            <w:shd w:val="clear" w:color="auto" w:fill="CCEEFF"/>
          </w:tcPr>
          <w:p>
            <w:pPr>
              <w:spacing w:after="0" w:line="169"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Business Combination Agreement, dated as of August 13, 2025, by and among Bleichroeder Acquisition Corp. I, IPDX Merger Sub,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and Merlin Labs, Inc (incorporated by reference to Exhibit 2.1 to Amendment No. 3 to the Registration Statement on Form S-4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333-292719) filed February 12,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Amendment No. 1 to Business Combination Agreement, dated as of March 14, 2026, by and between Bleichroeder Acquisition Corp. I</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(now known as Merlin, Inc.) and Merlin Labs, Inc. (incorporated by reference to Exhibit 2.2 filed with the Company’s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8-K (File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Plan of Domestication (incorporated by reference to Exhibit 2.2 to Amendment No. 3 to the Registration Statement on Form S-4 (File No.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333-292719) filed February 12,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Merger of Merlin Labs, Inc. with and into IPDX Merger Sub, Inc. (incorporated by reference to Exhibit 2.4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Company’s Current Report on Form 8-K (File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Corporate Domestication (incorporated by reference to Exhibit 3.1 filed with the Company’s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(File No. 001-42392)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Incorporation of Merlin, Inc. (incorporated by reference to Exhibit 3.2 filed with the Company’s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Bylaws of Merlin, Inc. (incorporated by reference to Exhibit 3.3 filed with the Company’s Current Report on Form 8-K (File No. 001-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Designation of Preferences, Rights and Limitations of 12.0% Series A Cumulative Convertible Preferred Stock (incorporated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by reference to Exhibit 3.4 filed with the Company’s Current Report on Form 8-K (File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Specimen Common Stock Certificate of Merlin, Inc. (incorporated by reference to Exhibit 4.5 to Amendment No. 3 to the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Statement on Form S-4 (File No. 333-292719) filed February 12, 2026).</w:t>
              </w:r>
            </w:hyperlink>
          </w:p>
        </w:tc>
        <w:tc>
          <w:tcPr>
            <w:tcW w:w="49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Specimen Series A Preferred Stock of Merlin, Inc. (incorporated by reference to Exhibit 4.2 filed with the Company’s Current Report 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8-K (File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Specimen Common Stock Purchase Warrant of Merlin, Inc. (incorporated by reference to Exhibit 4.6 to Amendment No. 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1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Registration Statement on Form S-4 (File No. 333-292719) filed February 12, 2026).</w:t>
              </w:r>
            </w:hyperlink>
          </w:p>
        </w:tc>
        <w:tc>
          <w:tcPr>
            <w:tcW w:w="398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Indemnification Agreements, dated March 16, 2026 between Merlin, Inc. and each of its officers and directors (incorporated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Exhibit 10.1 filed with the Company’s Current Report on Form 8-K (File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Sponsor Lock-Up Agreement, dated March 16, 2026, by and among Merlin, Inc., Bleichroeder Sponsor 1 LLC, a Cayman Islands limited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liability company, and any additional party thereto (incorporated by reference to Exhibit 10.2 filed with the Company’s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8-K (File No. 001-42392)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Lock-Up Agreement, dated March 16, 2026, by and among Merlin, Inc. and the Merlin Lock-Up Holders listed on Schedule I thereto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(incorporated by reference to Exhibit 10.3 filed with the Company’s Current Report on Form 8-K (File No. 001-42392) filed March 20,</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2026).</w:t>
              </w:r>
            </w:hyperlink>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Registration Rights Agreement, dated March 16, 2026, by and among Merlin, Inc. and each of the shareholders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Merlin, Inc. identified on the signature pages thereto (incorporated by reference to Exhibit 10.4 filed with the Company’s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8-K (File No. 001-42392)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Merlin, Inc. 2026 Incentive Award Plan (incorporated by reference to Exhibit 10.5 filed with the Company’s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Stock Option Grant Notice and Stock Option Agreement under the Merlin, Inc. 2026 Incentive Award Plan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to Exhibit 10.6 filed with the Company’s Current Report on Form 8-K (File No. 001-42392) filed March 20,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0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Restricted Stock Unit Grant Notice and Restricted Stock Unit Agreement under the Merlin, Inc. 2026 Incentive Award Plan</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(incorporated by reference to Exhibit 10.7 filed with the Company’s Current Report on Form 8-K (File No. 001-42392) filed March 20,</w:t>
              </w:r>
            </w:hyperlink>
          </w:p>
        </w:tc>
      </w:tr>
      <w:tr>
        <w:trPr>
          <w:trHeight w:val="196"/>
        </w:trPr>
        <w:tc>
          <w:tcPr>
            <w:tcW w:w="1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2026).</w:t>
              </w:r>
            </w:hyperlink>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Merlin, Inc. 2026 Employee Stock Purchase Plan (incorporated by reference to Exhibit 10.8 filed with the Company’s Current Report on</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8-K (File No. 001-42392) filed March 20, 2026).</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Merlin, Inc. 2018 Equity Incentive Plan (incorporated by reference to Exhibit 10.9 filed with the Company’s Current Report on Form 8-K</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(File No. 001-42392) filed March 20,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Stock Option Grant Notice and Stock Option Agreement under the 2018 Equity Incentive Plan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Exhibit 10.10 filed with the Company’s Current Report on Form 8-K (File No. 001-42392) filed March 20, 2026).</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4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Merlin, Inc. Executive Severance Plan (incorporated by reference to Exhibit 10.11 filed with the Company’s Current Report on Form 8-K</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(File No. 001-42392) filed March 20,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Merlin, Inc. Non-Employee Director Compensation Program (incorporated by reference to Exhibit 10.12 filed with the Company’s Current</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Report on Form 8-K (File No. 001-42392) filed March 20, 2026).</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Adopted Pursuant to Section 302 of the Sarbanes-Oxley Act of 2002.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Adopted Pursuant to Section 302 of the Sarbanes-Oxley Act of 2002.</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Act of 2002.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Act of 2002.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4280" w:firstLine="8"/>
        <w:spacing w:after="0" w:line="489" w:lineRule="auto"/>
        <w:tabs>
          <w:tab w:leader="none" w:pos="11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George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Carrithers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Ryan Carrithers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2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29, 2026</w:t>
            </w:r>
          </w:p>
        </w:tc>
        <w:tc>
          <w:tcPr>
            <w:tcW w:w="29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MERLIN, INC.</w:t>
            </w: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00" w:type="dxa"/>
            <w:vAlign w:val="bottom"/>
          </w:tcPr>
          <w:p>
            <w:pPr>
              <w:spacing w:after="0"/>
              <w:rPr>
                <w:sz w:val="20"/>
                <w:szCs w:val="20"/>
                <w:color w:val="auto"/>
              </w:rPr>
            </w:pPr>
          </w:p>
        </w:tc>
      </w:tr>
      <w:tr>
        <w:trPr>
          <w:trHeight w:val="439"/>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001-42392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98-1797826</w:t>
            </w:r>
          </w:p>
        </w:tc>
      </w:tr>
      <w:tr>
        <w:trPr>
          <w:trHeight w:val="198"/>
        </w:trPr>
        <w:tc>
          <w:tcPr>
            <w:tcW w:w="306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100 Causeway St., Floor 23</w:t>
            </w:r>
          </w:p>
        </w:tc>
        <w:tc>
          <w:tcPr>
            <w:tcW w:w="2900" w:type="dxa"/>
            <w:vAlign w:val="bottom"/>
          </w:tcPr>
          <w:p>
            <w:pPr>
              <w:spacing w:after="0"/>
              <w:rPr>
                <w:sz w:val="24"/>
                <w:szCs w:val="24"/>
                <w:color w:val="auto"/>
              </w:rPr>
            </w:pPr>
          </w:p>
        </w:tc>
      </w:tr>
      <w:tr>
        <w:trPr>
          <w:trHeight w:val="220"/>
        </w:trPr>
        <w:tc>
          <w:tcPr>
            <w:tcW w:w="3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Boston, MA 02114</w:t>
            </w:r>
          </w:p>
        </w:tc>
        <w:tc>
          <w:tcPr>
            <w:tcW w:w="2900" w:type="dxa"/>
            <w:vAlign w:val="bottom"/>
          </w:tcPr>
          <w:p>
            <w:pPr>
              <w:spacing w:after="0"/>
              <w:rPr>
                <w:sz w:val="19"/>
                <w:szCs w:val="19"/>
                <w:color w:val="auto"/>
              </w:rPr>
            </w:pPr>
          </w:p>
        </w:tc>
      </w:tr>
      <w:tr>
        <w:trPr>
          <w:trHeight w:val="234"/>
        </w:trPr>
        <w:tc>
          <w:tcPr>
            <w:tcW w:w="3060" w:type="dxa"/>
            <w:vAlign w:val="bottom"/>
          </w:tcPr>
          <w:p>
            <w:pPr>
              <w:spacing w:after="0"/>
              <w:rPr>
                <w:sz w:val="20"/>
                <w:szCs w:val="20"/>
                <w:color w:val="auto"/>
              </w:rPr>
            </w:pPr>
          </w:p>
        </w:tc>
        <w:tc>
          <w:tcPr>
            <w:tcW w:w="52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4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(857) 201-3979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0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129 South Street</w:t>
            </w:r>
          </w:p>
        </w:tc>
        <w:tc>
          <w:tcPr>
            <w:tcW w:w="2900" w:type="dxa"/>
            <w:vAlign w:val="bottom"/>
          </w:tcPr>
          <w:p>
            <w:pPr>
              <w:spacing w:after="0"/>
              <w:rPr>
                <w:sz w:val="24"/>
                <w:szCs w:val="24"/>
                <w:color w:val="auto"/>
              </w:rPr>
            </w:pPr>
          </w:p>
        </w:tc>
      </w:tr>
      <w:tr>
        <w:trPr>
          <w:trHeight w:val="220"/>
        </w:trPr>
        <w:tc>
          <w:tcPr>
            <w:tcW w:w="3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Boston, MA 02111</w:t>
            </w:r>
          </w:p>
        </w:tc>
        <w:tc>
          <w:tcPr>
            <w:tcW w:w="2900" w:type="dxa"/>
            <w:vAlign w:val="bottom"/>
          </w:tcPr>
          <w:p>
            <w:pPr>
              <w:spacing w:after="0"/>
              <w:rPr>
                <w:sz w:val="19"/>
                <w:szCs w:val="19"/>
                <w:color w:val="auto"/>
              </w:rPr>
            </w:pPr>
          </w:p>
        </w:tc>
      </w:tr>
      <w:tr>
        <w:trPr>
          <w:trHeight w:val="234"/>
        </w:trPr>
        <w:tc>
          <w:tcPr>
            <w:tcW w:w="3060" w:type="dxa"/>
            <w:vAlign w:val="bottom"/>
          </w:tcPr>
          <w:p>
            <w:pPr>
              <w:spacing w:after="0"/>
              <w:rPr>
                <w:sz w:val="20"/>
                <w:szCs w:val="20"/>
                <w:color w:val="auto"/>
              </w:rPr>
            </w:pPr>
          </w:p>
        </w:tc>
        <w:tc>
          <w:tcPr>
            <w:tcW w:w="52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MRLN</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29, 2026, Merlin,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purchaser named therein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for the private placement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of 8 million shares of the Company’s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a price per share of $10.00, and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exercisable for an aggregate of 4 million shares of Common Stock (the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for aggregate gross proceeds of approximately $80 million. Subject to the satisfaction of customary closing conditions, the Company intends to close the Private Placement and issue the Securities on May 1, 2026. The Company intends to use the net proceeds from the Private Placement to support revenue generation and long-term value creation, including to advance and expand Merlin’s core platform development, fund regulatory approval activities, scale program capacity, and support the execution and expansion of existing and new customer contracts.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and agreements by the Company, indemnification obligations of the Company and the Purchaser, including for liabilities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other obligations of the parties. The representations, warranties, covenants and agreements contained in the Purchase Agreement reflect negotiations between the parties to the Purchase Agreement and are not intended as statements of fact to be relied upon by stockholders, or any individual or other entity other than the parties. In particular, the representations, warranties, covenants and agreements in the Purchase Agreement may be subject to limitations agreed by the parties, including having been modified or qualified by certain confidential disclosures that were made between the parties in connection with the negotiation of the Purchase Agreement, and having been made for purposes of allocating risk among the parties rather than establishing matters of fact. In addition, the parties may apply standards of materiality in a way that is different from what may be viewed as material by investors. As such, the representations and warranties in the Purchase Agreement may not describe the actual state of affairs at the date they were made, or at any other time, and you should not rely on them as statements of fact. Moreover, information concerning the subject matter of the representations and warranties may change after the date of the Purchase Agreement, and unless required by applicable law, the Company undertakes no obligation to update such information. In accordance with the terms of the Certificate of Designation of the Company’s 12.0% Series A Cumulative Convertible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issuance of the Securities in the Private Placement is expected to result in an adjustment to the conversion price of the Preferred Stock pursuant to the anti-dilution provisions set forth therein, as well as a corresponding adjustment to the exercise price of certain existing warrants to purchase common stock pursuant to the anti-dilution provisions set forth therein.</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Private Placement is exempt from the registration requirements of the Securities Act pursuant to the exemption for transactions by an issuer not involving any public offering under Section 4(a)(2) of the Securities Act and in reliance on similar exemptions under applicable state laws. The Purchaser represented that it is an accredited investor within the meaning of Rule 501(a) of Regulation D and is acquiring the Securities and Underlying Shares as principal for its own account and not with a view to or for distributing or reselling the Securities and Underlying Shares. The Securities and Underlying Shares were offered without any general solicitation by the Company or its representatives. The Securities and Underlying Shares sold and issued in the Private Placement have not been registered under the Securities Act or any state securities laws and may not be offered or sold in the United States absent registration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 applicable exemption from the registration requirements of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Private Placement, the Amended and Restated Registration Rights Agreement, dated as of March 16, 2026, by and among the Company and the other parties thereto, was amended and restated by the Company and the Holders (as defined therein) of at least a majority in interest of the aggregate Registrable Securities (as defined therein) at the time of the amendment (the “</w:t>
      </w:r>
      <w:r>
        <w:rPr>
          <w:rFonts w:ascii="Times New Roman" w:cs="Times New Roman" w:eastAsia="Times New Roman" w:hAnsi="Times New Roman"/>
          <w:sz w:val="18"/>
          <w:szCs w:val="18"/>
          <w:u w:val="single" w:color="auto"/>
          <w:color w:val="auto"/>
        </w:rPr>
        <w:t>Second A&amp;R Registration Rights Agreement</w:t>
      </w:r>
      <w:r>
        <w:rPr>
          <w:rFonts w:ascii="Times New Roman" w:cs="Times New Roman" w:eastAsia="Times New Roman" w:hAnsi="Times New Roman"/>
          <w:sz w:val="18"/>
          <w:szCs w:val="18"/>
          <w:color w:val="auto"/>
        </w:rPr>
        <w:t>”). Pursuant to the Second A&amp;R Registration Rights Agreement, the Company has agreed to file a registration statement with the SEC on or prior to the 30th calendar day following the execution of the Second A&amp;R Registration Rights Agreement (subject to certain exceptions) for purposes of registering the resale of the Registrable Securities, including the Securities and Underlying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use commercially reasonable efforts to have such Registration Statement declared effective within the time period set forth in the Second A&amp;R Registration Rights Agreement, and to keep the Registration Statement effective until the date that all registrable securities covered by the Registration Statement are no longer Registrable Securities.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Second A&amp;R Registration Rights Agreement do not purport to be complete and are qualified in their entirety by reference to the Purchase Agreement, the Form of Second Amended and Restated Registration Rights Agreement and the Form of Common Stock Purchase Warrant filed as Exhibits 10.1, 10.2 and 4.1, respectively, to this Current Report on Form 8-K and incorporated herein by reference. Such exhibits have been included to provide investors with information regarding their respective terms and are not intended to provide any factual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under Item 1.01 of this Current Report on Form 8-K related to the Securities and Underlying Shares is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29, 2026, the Company issued a press release announcing the Private Placement, which is furnished herewith as Exhibit 99.1.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provided under this Item 7.01 of this Current Report on Form 8-K, including Exhibit 99.1, is “furnished” and shall not be deemed “filed” with the SEC or incorporated by reference in any filing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Current Report on Form 8-K, including Exhibit 99.1, are or contain “forward-looking statements” within the meaning of Section 27A of the Securities Act, Section 21E of the Exchange Act and the Private Securities Litigation Reform Act of 1995. These statements, which involve risks and uncertainties include statements relating to the Private Placement and its expected benefits, including anticipated timing of closing and funding and use of proceeds. Such statements can be identified by the fact that they do not relate strictly to historical or current facts.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 Forward-looking statements are subject to risks and uncertainties that could cause actual results to differ materially from our expectations.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believes that all forward-looking statements made in this Current Report have a reasonable basis, but there can be no assurance that management’s expectations, beliefs or projections as expressed in the forward-looking statements will actually occur or prove to be correct. Factors that could cause actual results to differ materially from those discussed in the forward-looking statements herein include, but are not limited to: (i) the failure of any one or more of the assumptions stated above to prove to be correct; (ii) the occurrence of any event, change or other circumstances that could give rise to an amendment or termination of the Purchase Agreement; (iii) litigation and any unexpected costs, charges or expenses resulting from the Purchase Agreement and the other transactions contemplated thereby; (iv) potential adverse reactions or changes to business relationships resulting from the announcement of the Purchase Agreement; and (v) the risks relating to forward-looking statements and other “Risk Factors” discussed in the Company’s 424(b)(3) Prospectus dated April 21, 2026, and additional risk factors that may be identified from time to time in future filings of the Company. The Company disclaims any obligation to update information contained in these forward-looking statements whether as a result of new information, future events or developments, or otherwise.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attached with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12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Common Stock Purchase Warrant.</w:t>
              </w:r>
            </w:hyperlink>
          </w:p>
        </w:tc>
        <w:tc>
          <w:tcPr>
            <w:tcW w:w="6980" w:type="dxa"/>
            <w:vAlign w:val="bottom"/>
            <w:tcBorders>
              <w:top w:val="single" w:sz="8" w:color="auto"/>
              <w:bottom w:val="single" w:sz="8" w:color="CCEEFF"/>
            </w:tcBorders>
            <w:gridSpan w:val="3"/>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5"/>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Securities Purchase Agreement, dated as of April 29, 2026, by and between the Company and the Purchaser.</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Second Amended and Restated Registration Rights Agreement.</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520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Press Release, dated April 29, 2026.</w:t>
              </w:r>
            </w:hyperlink>
          </w:p>
        </w:tc>
        <w:tc>
          <w:tcPr>
            <w:tcW w:w="490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7"/>
          <w:szCs w:val="17"/>
          <w:b w:val="1"/>
          <w:bCs w:val="1"/>
          <w:color w:val="auto"/>
        </w:rPr>
        <w:t>MERLIN,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Carrithers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Ryan Carrithers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0"/>
    </w:lvl>
    <w:lvl w:ilvl="1">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04"/>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73" Type="http://schemas.openxmlformats.org/officeDocument/2006/relationships/hyperlink" Target="https://www.sec.gov/Archives/edgar/data/2028707/000121390026013897/ea0258163-05.htm#T882" TargetMode="External"/><Relationship Id="rId74" Type="http://schemas.openxmlformats.org/officeDocument/2006/relationships/hyperlink" Target="https://www.sec.gov/Archives/edgar/data/2028707/000121390026032329/ea028257401ex2-2.htm" TargetMode="External"/><Relationship Id="rId75" Type="http://schemas.openxmlformats.org/officeDocument/2006/relationships/hyperlink" Target="https://www.sec.gov/Archives/edgar/data/2028707/000121390026013897/ea025816305ex2-2_inflect4.htm" TargetMode="External"/><Relationship Id="rId76" Type="http://schemas.openxmlformats.org/officeDocument/2006/relationships/hyperlink" Target="https://www.sec.gov/Archives/edgar/data/2028707/000121390026032329/ea028257401ex2-4.htm" TargetMode="External"/><Relationship Id="rId77" Type="http://schemas.openxmlformats.org/officeDocument/2006/relationships/hyperlink" Target="https://www.sec.gov/Archives/edgar/data/2028707/000121390026032329/ea028257401ex3-1.htm" TargetMode="External"/><Relationship Id="rId78" Type="http://schemas.openxmlformats.org/officeDocument/2006/relationships/hyperlink" Target="https://www.sec.gov/Archives/edgar/data/2028707/000121390026032329/ea028257401ex3-2.htm" TargetMode="External"/><Relationship Id="rId79" Type="http://schemas.openxmlformats.org/officeDocument/2006/relationships/hyperlink" Target="https://www.sec.gov/Archives/edgar/data/2028707/000121390026032329/ea028257401ex3-3.htm" TargetMode="External"/><Relationship Id="rId80" Type="http://schemas.openxmlformats.org/officeDocument/2006/relationships/hyperlink" Target="https://www.sec.gov/Archives/edgar/data/2028707/000121390026032329/ea028257401ex3-4.htm" TargetMode="External"/><Relationship Id="rId81" Type="http://schemas.openxmlformats.org/officeDocument/2006/relationships/hyperlink" Target="https://www.sec.gov/Archives/edgar/data/2028707/000121390026013897/ea025816305ex4-5_inflect4.htm" TargetMode="External"/><Relationship Id="rId82" Type="http://schemas.openxmlformats.org/officeDocument/2006/relationships/hyperlink" Target="https://www.sec.gov/Archives/edgar/data/2028707/000121390026032329/ea028257401ex4-2.htm" TargetMode="External"/><Relationship Id="rId83" Type="http://schemas.openxmlformats.org/officeDocument/2006/relationships/hyperlink" Target="https://www.sec.gov/Archives/edgar/data/2028707/000121390026013897/ea025816305ex4-6_inflect4.htm" TargetMode="External"/><Relationship Id="rId84" Type="http://schemas.openxmlformats.org/officeDocument/2006/relationships/hyperlink" Target="https://www.sec.gov/Archives/edgar/data/2028707/000121390026032329/ea028257401ex10-1.htm" TargetMode="External"/><Relationship Id="rId85" Type="http://schemas.openxmlformats.org/officeDocument/2006/relationships/hyperlink" Target="https://www.sec.gov/Archives/edgar/data/2028707/000121390026032329/ea028257401ex10-2.htm" TargetMode="External"/><Relationship Id="rId86" Type="http://schemas.openxmlformats.org/officeDocument/2006/relationships/hyperlink" Target="https://www.sec.gov/Archives/edgar/data/2028707/000121390026032329/ea028257401ex10-3.htm" TargetMode="External"/><Relationship Id="rId87" Type="http://schemas.openxmlformats.org/officeDocument/2006/relationships/hyperlink" Target="https://www.sec.gov/Archives/edgar/data/2028707/000121390026032329/ea028257401ex10-4.htm" TargetMode="External"/><Relationship Id="rId88" Type="http://schemas.openxmlformats.org/officeDocument/2006/relationships/hyperlink" Target="https://www.sec.gov/Archives/edgar/data/2028707/000121390026032329/ea028257401ex10-5.htm" TargetMode="External"/><Relationship Id="rId89" Type="http://schemas.openxmlformats.org/officeDocument/2006/relationships/hyperlink" Target="https://www.sec.gov/Archives/edgar/data/2028707/000121390026032329/ea028257401ex10-6.htm" TargetMode="External"/><Relationship Id="rId90" Type="http://schemas.openxmlformats.org/officeDocument/2006/relationships/hyperlink" Target="https://www.sec.gov/Archives/edgar/data/2028707/000121390026032329/ea028257401ex10-7.htm" TargetMode="External"/><Relationship Id="rId91" Type="http://schemas.openxmlformats.org/officeDocument/2006/relationships/hyperlink" Target="https://www.sec.gov/Archives/edgar/data/2028707/000121390026032329/ea028257401ex10-8.htm" TargetMode="External"/><Relationship Id="rId92" Type="http://schemas.openxmlformats.org/officeDocument/2006/relationships/hyperlink" Target="https://www.sec.gov/Archives/edgar/data/2028707/000121390026032329/ea028257401ex10-9.htm" TargetMode="External"/><Relationship Id="rId93" Type="http://schemas.openxmlformats.org/officeDocument/2006/relationships/hyperlink" Target="https://www.sec.gov/Archives/edgar/data/2028707/000121390026032329/ea028257401ex10-10.htm" TargetMode="External"/><Relationship Id="rId94" Type="http://schemas.openxmlformats.org/officeDocument/2006/relationships/hyperlink" Target="https://www.sec.gov/Archives/edgar/data/2028707/000121390026032329/ea028257401ex10-11.htm" TargetMode="External"/><Relationship Id="rId95" Type="http://schemas.openxmlformats.org/officeDocument/2006/relationships/hyperlink" Target="https://www.sec.gov/Archives/edgar/data/2028707/000121390026032329/ea028257401ex10-12.htm" TargetMode="External"/><Relationship Id="rId96" Type="http://schemas.openxmlformats.org/officeDocument/2006/relationships/hyperlink" Target="https://www.sec.gov/Archives/edgar/data/2028707/000121390026057138/ea028917601ex31-1.htm" TargetMode="External"/><Relationship Id="rId97" Type="http://schemas.openxmlformats.org/officeDocument/2006/relationships/hyperlink" Target="https://www.sec.gov/Archives/edgar/data/2028707/000121390026057138/ea028917601ex31-2.htm" TargetMode="External"/><Relationship Id="rId98" Type="http://schemas.openxmlformats.org/officeDocument/2006/relationships/hyperlink" Target="https://www.sec.gov/Archives/edgar/data/2028707/000121390026057138/ea028917601ex32-1.htm" TargetMode="External"/><Relationship Id="rId99" Type="http://schemas.openxmlformats.org/officeDocument/2006/relationships/hyperlink" Target="https://www.sec.gov/Archives/edgar/data/2028707/000121390026057138/ea028917601ex32-2.htm" TargetMode="External"/><Relationship Id="rId112" Type="http://schemas.openxmlformats.org/officeDocument/2006/relationships/hyperlink" Target="https://www.sec.gov/Archives/edgar/data/2028707/000121390026048884/ea028818001ex4-1.htm" TargetMode="External"/><Relationship Id="rId113" Type="http://schemas.openxmlformats.org/officeDocument/2006/relationships/hyperlink" Target="https://www.sec.gov/Archives/edgar/data/2028707/000121390026048884/ea028818001ex10-1.htm" TargetMode="External"/><Relationship Id="rId114" Type="http://schemas.openxmlformats.org/officeDocument/2006/relationships/hyperlink" Target="https://www.sec.gov/Archives/edgar/data/2028707/000121390026048884/ea028818001ex10-2.htm" TargetMode="External"/><Relationship Id="rId115" Type="http://schemas.openxmlformats.org/officeDocument/2006/relationships/hyperlink" Target="https://www.sec.gov/Archives/edgar/data/2028707/000121390026048884/ea0288180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2026-06-02T05:18:53Z</dcterms:created>
  <dcterms:modified xsi:type="dcterms:W3CDTF">2026-06-02T05:18:53Z</dcterms:modified>
</cp:coreProperties>
</file>