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Merlin,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Bleichroeder Sponsor 1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8,333,333.00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8,333,333.00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8,333,333.00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Andrew Gundlach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8,333,333.00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8,333,333.00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8,333,333.00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Michel Combes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8,333,333.00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8,333,333.00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8,333,333.00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Merlin,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129 South Street Boston, MA 02111</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Bleichroeder Sponsor 1 LLC (the "Sponsor"), Andrew Gundlach, and Michel Combes (collectively, the "Reporting Persons") are filing this Amendment No. 1 on Schedule 13G which amends the Schedule 13G filed by the Reporting Persons on March 24, 2026. The Reporting Persons previously filed a Schedule 13D on November 12, 2024 (the "Schedule 13D") with respect to the Class A ordinary shares of the Issuer (which was formerly known as Inflection Point Acquisition Corp. IV or "Inflection Point"). In connection with the closing (the "Closing") of the business combination (the "Business Combination") between the Issuer and Merlin Labs, Inc., the securities of Inflection Point held by the Sponsor became shares of the Issuer's common stock (the "Common Stock") and the Reporting Persons became eligible to report on Schedule 13G pursuant to Rule 13d-1(c).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each reporting person is 1345 Avenue of the Americas, Floor 47, New York, NY 10105</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The Sponsor is a Delaware limited liability company. Mr. Gundlach is a citizen of the United States. Mr. Combes is a citizen of France.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 to row 9 of the Cover Page for each Reporting Person. MC Advisory L.L.C-FZ, an entity formed in Dubai (of which Mr. Combes, is the manager), as well as Mr. Gundlach, are the managing members of the Sponsor and hold voting and investment discretion with respect to the Common Stock held of record by the Sponsor. As such, each of Mr. Combes and Mr. Gundlach may be deemed to have beneficial ownership of the securities held of record by the Sponsor. Each of Mr. Combes and Mr. Gundlach disclaims any beneficial ownership of the securities held of record by the Sponsor other than to the extent of any pecuniary interest they may have therein, directly or indirectly.</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 to row 11 of the Cover Page for each Reporting Person. MC Advisory L.L.C-FZ, an entity formed in Dubai (of which Mr. Combes, is the manager), as well as Mr. Gundlach, are the managing members of the Sponsor and hold voting and investment discretion with respect to the Common Stock held of record by the Sponsor. As such, each of Mr. Combes and Mr. Gundlach may be deemed to have beneficial ownership of the securities held of record by the Sponsor. Each of Mr. Combes and Mr. Gundlach disclaims any beneficial ownership of the securities held of record by the Sponsor other than to the extent of any pecuniary interest they may have therein, directly or indirectly.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 to row 5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 to row 6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 to row 7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 to row 8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Bleichroeder Sponsor 1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Andrew Gundlach</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Andrew Gundlach /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Andrew Gundlach</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Andrew Gundlach</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Andrew Gundlach</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Michel Combes</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Michel Combes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Michel Combes</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Agreement, November 12, 2024, by and among the Reporting Persons. sec.gov/Archives/edgar/data/2028707/000121390024096093/ea022041701ex99-1_bleich1.htm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1443</Words>
  <Characters>7406</Characters>
  <CharactersWithSpaces>8799</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