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Merlin,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FR Capital Holdings,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12,761,228.00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12,761,228.00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12,761,228.00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12.6 %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See Item 2 for additional information.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First Round Capital VI,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7,043,033.00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7,043,033.00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7,043,033.00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See Item 2 for additional information.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First Round Capital VIII-F,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5,718,195.00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5,718,195.00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5,718,195.00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See Item 2 for additional information.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63"/>
        <w:gridCol w:w="8887"/>
        <w:gridCol w:w="155"/>
      </w:tblGrid>
      <w:tr>
        <w:trPr/>
        <w:tc>
          <w:tcPr>
            <w:tcW w:w="1163" w:type="dxa"/>
            <w:tcBorders/>
            <w:vAlign w:val="center"/>
          </w:tcPr>
          <w:p>
            <w:pPr>
              <w:pStyle w:val="TableContents"/>
              <w:bidi w:val="0"/>
              <w:spacing w:before="0" w:after="283"/>
              <w:jc w:val="left"/>
              <w:rPr/>
            </w:pPr>
            <w:r>
              <w:rPr/>
              <w:t>Item 1.</w:t>
            </w:r>
          </w:p>
        </w:tc>
        <w:tc>
          <w:tcPr>
            <w:tcW w:w="888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(a)</w:t>
            </w:r>
          </w:p>
        </w:tc>
        <w:tc>
          <w:tcPr>
            <w:tcW w:w="8887" w:type="dxa"/>
            <w:tcBorders/>
            <w:vAlign w:val="center"/>
          </w:tcPr>
          <w:p>
            <w:pPr>
              <w:pStyle w:val="TableContents"/>
              <w:bidi w:val="0"/>
              <w:jc w:val="left"/>
              <w:rPr/>
            </w:pPr>
            <w:r>
              <w:rPr/>
              <w:t xml:space="preserve">Name of issuer: </w:t>
            </w:r>
          </w:p>
          <w:p>
            <w:pPr>
              <w:pStyle w:val="TableContents"/>
              <w:bidi w:val="0"/>
              <w:spacing w:before="0" w:after="0"/>
              <w:jc w:val="left"/>
              <w:rPr/>
            </w:pPr>
            <w:r>
              <w:rPr/>
              <w:t>Merlin, Inc.</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(b)</w:t>
            </w:r>
          </w:p>
        </w:tc>
        <w:tc>
          <w:tcPr>
            <w:tcW w:w="888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100 Causeway St., Floor 23 Boston, MA 02114</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2.</w:t>
            </w:r>
          </w:p>
        </w:tc>
        <w:tc>
          <w:tcPr>
            <w:tcW w:w="888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(a)</w:t>
            </w:r>
          </w:p>
        </w:tc>
        <w:tc>
          <w:tcPr>
            <w:tcW w:w="8887"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report on Schedule 13G is being filed by (i) FR Capital Holdings, L.P., a Delaware limited partnership (the "Management Company"), (ii) First Round Capital VIII-F, L.P., a Delaware limited partnership ("FRCVIII-F"), and (iii) First Round Capital VI, L.P., a Delaware limited partnership ("FRCVI", and, collectively with the Management Company and FRCVIII-F, the "Reporting Persons"). FRCVI is the nominee of FRCVI and First Round Capital VI Partners Fund, L.P. ("FRCVI Partners") with respect to the securities reported herein. First Round Capital Management VI, L.P. is the general partner of FRCVI and FRCVI Partners, and First Round Capital Management VI, LLC is the general partner of First Round Capital Management VI, L.P. FRCVIII-F is the nominee of FRCVIII-F and First Round Capital VIII-F Partners Fund, L.P. ("FRCVIII-F Partners") with respect to the securities reported herein. First Round Capital Management VIII-F, L.P. is the general partner of FRCVIII-F and FRCVIII-F Partners, and First Round Capital Management VIII-F, LLC is the general partner of First Round Capital Management VIII-F, L.P. The Management Company is the investment manager of FRCVI, FRCVI Partners, First Round Capital Management VI, L.P., First Round Capital Management VI, LLC, FRCVIII-F, FRCVIII-F Partners, First Round Capital Management VIII-F, L.P. and First Round Capital Management VIII-F, LLC. The Management Company is managed by an investment committee comprised of three individuals. As of June 30, 2026, FRCVI held 7,043,033 shares of common stock, par value $0.0001 per share (the "Common Stock") of Merlin, Inc. (the "Issuer") and FRCVIII-F held 5,718,195 shares of Common Stock of the Issuer. The 7,043,033 shares of Common Stock directly held by FRCVI consist of the following: (i) 6,651,292 shares of Common Stock, (ii) shares of 12.0% Series A Cumulative Convertible Preferred Stock, par value $0.0001 per share (the "Preferred Stock"), convertible into 196,175 shares of Common Stock at a conversion price of $12.00 per share, including accrued dividends, subject to adjustment, and (iii) warrants to purchase 195,566 shares of Common Stock at an exercise price of $12.00 per share. The 5,718,195 shares of Common Stock directly held by FRCVIII-F consist of the following: (i) 5,097,669 shares of Common Stock, (ii) shares of Preferred Stock convertible into 310,744 shares of Common Stock at a conversion price of $12.00 per share, including accrued dividends, subject to adjustment, and (iii) warrants to purchase 309,782 shares of Common Stock at an exercise price of $12.00 per share. Accordingly, as of June 30, 2026, the Management Company, as the investment manager to FRCVI and FRCVIII-F, may be deemed to beneficially own the 12,761,228 shares of Common Stock of the Issuer directly held in the aggregate by FRCVI and FRCVIII-F for a beneficial ownership percentage of approximately 12.6%. Beneficial ownership percentages are based upon 100,592,160 shares of Common Stock issued and outstanding as of June 30, 2026, based on information reported by the Issuer directly to the Reporting Person.</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(b)</w:t>
            </w:r>
          </w:p>
        </w:tc>
        <w:tc>
          <w:tcPr>
            <w:tcW w:w="888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for the Reporting Persons is 2400 Market Street, Suite 237, Philadelphia, PA 19103.</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(c)</w:t>
            </w:r>
          </w:p>
        </w:tc>
        <w:tc>
          <w:tcPr>
            <w:tcW w:w="8887" w:type="dxa"/>
            <w:tcBorders/>
            <w:vAlign w:val="center"/>
          </w:tcPr>
          <w:p>
            <w:pPr>
              <w:pStyle w:val="TableContents"/>
              <w:bidi w:val="0"/>
              <w:jc w:val="left"/>
              <w:rPr/>
            </w:pPr>
            <w:r>
              <w:rPr/>
              <w:t xml:space="preserve">Citizenship: </w:t>
            </w:r>
          </w:p>
          <w:p>
            <w:pPr>
              <w:pStyle w:val="TableContents"/>
              <w:bidi w:val="0"/>
              <w:spacing w:before="0" w:after="0"/>
              <w:jc w:val="left"/>
              <w:rPr/>
            </w:pPr>
            <w:r>
              <w:rPr/>
              <w:t>The Reporting Persons are organized under the laws of the State of Delaware.</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(d)</w:t>
            </w:r>
          </w:p>
        </w:tc>
        <w:tc>
          <w:tcPr>
            <w:tcW w:w="888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(e)</w:t>
            </w:r>
          </w:p>
        </w:tc>
        <w:tc>
          <w:tcPr>
            <w:tcW w:w="888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3.</w:t>
            </w:r>
          </w:p>
        </w:tc>
        <w:tc>
          <w:tcPr>
            <w:tcW w:w="888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(a)</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(b)</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(c)</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(d)</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(e)</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(f)</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(g)</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(h)</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(j)</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(k)</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9042" w:type="dxa"/>
            <w:gridSpan w:val="2"/>
            <w:tcBorders/>
            <w:vAlign w:val="center"/>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4.</w:t>
            </w:r>
          </w:p>
        </w:tc>
        <w:tc>
          <w:tcPr>
            <w:tcW w:w="888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(a)</w:t>
            </w:r>
          </w:p>
        </w:tc>
        <w:tc>
          <w:tcPr>
            <w:tcW w:w="888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Management Company - 12,761,228.00 FRCVI - 7,043,033.00 FRCVIII-F - 5,718,195.00</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(b)</w:t>
            </w:r>
          </w:p>
        </w:tc>
        <w:tc>
          <w:tcPr>
            <w:tcW w:w="888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Management Company - 12.6% FRCVI - 7.0% FRCVIII-F - 5.6%  %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(c)</w:t>
            </w:r>
          </w:p>
        </w:tc>
        <w:tc>
          <w:tcPr>
            <w:tcW w:w="888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Management Company - 12,761,228.00 FRCVI - 7,043,033.00 FRCVIII-F - 5,718,195.00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Management Company - 0.00 FRCVI - 0.00 FRCVIII-F - 0.00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Management Company - 12,761,228.00 FRCVI - 7,043,033.00 FRCVIII-F - 5,718,195.00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Management Company - 0.00 FRCVI - 0.00 FRCVIII-F - 0.00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5.</w:t>
            </w:r>
          </w:p>
        </w:tc>
        <w:tc>
          <w:tcPr>
            <w:tcW w:w="888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6.</w:t>
            </w:r>
          </w:p>
        </w:tc>
        <w:tc>
          <w:tcPr>
            <w:tcW w:w="888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7.</w:t>
            </w:r>
          </w:p>
        </w:tc>
        <w:tc>
          <w:tcPr>
            <w:tcW w:w="888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8.</w:t>
            </w:r>
          </w:p>
        </w:tc>
        <w:tc>
          <w:tcPr>
            <w:tcW w:w="888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9.</w:t>
            </w:r>
          </w:p>
        </w:tc>
        <w:tc>
          <w:tcPr>
            <w:tcW w:w="888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598" w:type="dxa"/>
        <w:jc w:val="left"/>
        <w:tblInd w:w="0" w:type="dxa"/>
        <w:tblLayout w:type="fixed"/>
        <w:tblCellMar>
          <w:top w:w="28" w:type="dxa"/>
          <w:left w:w="28" w:type="dxa"/>
          <w:bottom w:w="28" w:type="dxa"/>
          <w:right w:w="28" w:type="dxa"/>
        </w:tblCellMar>
      </w:tblPr>
      <w:tblGrid>
        <w:gridCol w:w="2799"/>
        <w:gridCol w:w="2799"/>
      </w:tblGrid>
      <w:tr>
        <w:trPr/>
        <w:tc>
          <w:tcPr>
            <w:tcW w:w="2799" w:type="dxa"/>
            <w:tcBorders/>
            <w:vAlign w:val="center"/>
          </w:tcPr>
          <w:p>
            <w:pPr>
              <w:pStyle w:val="TableContents"/>
              <w:bidi w:val="0"/>
              <w:spacing w:before="0" w:after="0"/>
              <w:jc w:val="left"/>
              <w:rPr/>
            </w:pPr>
            <w:r>
              <w:rPr/>
              <w:t> </w:t>
            </w:r>
          </w:p>
          <w:tbl>
            <w:tblPr>
              <w:tblW w:w="2656" w:type="dxa"/>
              <w:jc w:val="left"/>
              <w:tblInd w:w="0" w:type="dxa"/>
              <w:tblLayout w:type="fixed"/>
              <w:tblCellMar>
                <w:top w:w="28" w:type="dxa"/>
                <w:left w:w="28" w:type="dxa"/>
                <w:bottom w:w="28" w:type="dxa"/>
                <w:right w:w="28" w:type="dxa"/>
              </w:tblCellMar>
            </w:tblPr>
            <w:tblGrid>
              <w:gridCol w:w="2656"/>
            </w:tblGrid>
            <w:tr>
              <w:trPr/>
              <w:tc>
                <w:tcPr>
                  <w:tcW w:w="2656" w:type="dxa"/>
                  <w:tcBorders/>
                  <w:vAlign w:val="center"/>
                </w:tcPr>
                <w:p>
                  <w:pPr>
                    <w:pStyle w:val="TableContents"/>
                    <w:bidi w:val="0"/>
                    <w:spacing w:before="0" w:after="0"/>
                    <w:jc w:val="left"/>
                    <w:rPr/>
                  </w:pPr>
                  <w:r>
                    <w:rPr/>
                    <w:t>FR Capital Holdings, L.P.</w:t>
                  </w:r>
                </w:p>
              </w:tc>
            </w:tr>
          </w:tbl>
          <w:p>
            <w:pPr>
              <w:pStyle w:val="TableContents"/>
              <w:bidi w:val="0"/>
              <w:spacing w:before="0" w:after="283"/>
              <w:jc w:val="left"/>
              <w:rPr/>
            </w:pPr>
            <w:r>
              <w:rPr/>
            </w:r>
          </w:p>
        </w:tc>
        <w:tc>
          <w:tcPr>
            <w:tcW w:w="279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5"/>
        <w:gridCol w:w="4370"/>
      </w:tblGrid>
      <w:tr>
        <w:trPr/>
        <w:tc>
          <w:tcPr>
            <w:tcW w:w="583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Jeffrey Donnon</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Jeffrey Donnon / Chief Financial Officer</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70" w:type="dxa"/>
            <w:tcBorders/>
            <w:vAlign w:val="center"/>
          </w:tcPr>
          <w:p>
            <w:pPr>
              <w:pStyle w:val="TableContents"/>
              <w:bidi w:val="0"/>
              <w:spacing w:before="0" w:after="283"/>
              <w:jc w:val="left"/>
              <w:rPr>
                <w:sz w:val="4"/>
                <w:szCs w:val="4"/>
              </w:rPr>
            </w:pPr>
            <w:r>
              <w:rPr>
                <w:sz w:val="4"/>
                <w:szCs w:val="4"/>
              </w:rPr>
            </w:r>
          </w:p>
        </w:tc>
      </w:tr>
    </w:tbl>
    <w:tbl>
      <w:tblPr>
        <w:tblW w:w="6000" w:type="dxa"/>
        <w:jc w:val="left"/>
        <w:tblInd w:w="0" w:type="dxa"/>
        <w:tblLayout w:type="fixed"/>
        <w:tblCellMar>
          <w:top w:w="28" w:type="dxa"/>
          <w:left w:w="28" w:type="dxa"/>
          <w:bottom w:w="28" w:type="dxa"/>
          <w:right w:w="28" w:type="dxa"/>
        </w:tblCellMar>
      </w:tblPr>
      <w:tblGrid>
        <w:gridCol w:w="3000"/>
        <w:gridCol w:w="3000"/>
      </w:tblGrid>
      <w:tr>
        <w:trPr/>
        <w:tc>
          <w:tcPr>
            <w:tcW w:w="3000" w:type="dxa"/>
            <w:tcBorders/>
            <w:vAlign w:val="center"/>
          </w:tcPr>
          <w:p>
            <w:pPr>
              <w:pStyle w:val="TableContents"/>
              <w:bidi w:val="0"/>
              <w:spacing w:before="0" w:after="0"/>
              <w:jc w:val="left"/>
              <w:rPr/>
            </w:pPr>
            <w:r>
              <w:rPr/>
              <w:t> </w:t>
            </w:r>
          </w:p>
          <w:tbl>
            <w:tblPr>
              <w:tblW w:w="2866" w:type="dxa"/>
              <w:jc w:val="left"/>
              <w:tblInd w:w="0" w:type="dxa"/>
              <w:tblLayout w:type="fixed"/>
              <w:tblCellMar>
                <w:top w:w="28" w:type="dxa"/>
                <w:left w:w="28" w:type="dxa"/>
                <w:bottom w:w="28" w:type="dxa"/>
                <w:right w:w="28" w:type="dxa"/>
              </w:tblCellMar>
            </w:tblPr>
            <w:tblGrid>
              <w:gridCol w:w="2866"/>
            </w:tblGrid>
            <w:tr>
              <w:trPr/>
              <w:tc>
                <w:tcPr>
                  <w:tcW w:w="2866" w:type="dxa"/>
                  <w:tcBorders/>
                  <w:vAlign w:val="center"/>
                </w:tcPr>
                <w:p>
                  <w:pPr>
                    <w:pStyle w:val="TableContents"/>
                    <w:bidi w:val="0"/>
                    <w:spacing w:before="0" w:after="0"/>
                    <w:jc w:val="left"/>
                    <w:rPr/>
                  </w:pPr>
                  <w:r>
                    <w:rPr/>
                    <w:t>First Round Capital VI, L.P.</w:t>
                  </w:r>
                </w:p>
              </w:tc>
            </w:tr>
          </w:tbl>
          <w:p>
            <w:pPr>
              <w:pStyle w:val="TableContents"/>
              <w:bidi w:val="0"/>
              <w:spacing w:before="0" w:after="283"/>
              <w:jc w:val="left"/>
              <w:rPr/>
            </w:pPr>
            <w:r>
              <w:rPr/>
            </w:r>
          </w:p>
        </w:tc>
        <w:tc>
          <w:tcPr>
            <w:tcW w:w="30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3"/>
        <w:gridCol w:w="4232"/>
      </w:tblGrid>
      <w:tr>
        <w:trPr/>
        <w:tc>
          <w:tcPr>
            <w:tcW w:w="59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Jeffrey Donnon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Jeffrey Donnon / Chief Financial Officer of FR Capital Holdings, L.P., its Management Company</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32" w:type="dxa"/>
            <w:tcBorders/>
            <w:vAlign w:val="center"/>
          </w:tcPr>
          <w:p>
            <w:pPr>
              <w:pStyle w:val="TableContents"/>
              <w:bidi w:val="0"/>
              <w:spacing w:before="0" w:after="283"/>
              <w:jc w:val="left"/>
              <w:rPr>
                <w:sz w:val="4"/>
                <w:szCs w:val="4"/>
              </w:rPr>
            </w:pPr>
            <w:r>
              <w:rPr>
                <w:sz w:val="4"/>
                <w:szCs w:val="4"/>
              </w:rPr>
            </w:r>
          </w:p>
        </w:tc>
      </w:tr>
    </w:tbl>
    <w:tbl>
      <w:tblPr>
        <w:tblW w:w="6694" w:type="dxa"/>
        <w:jc w:val="left"/>
        <w:tblInd w:w="0" w:type="dxa"/>
        <w:tblLayout w:type="fixed"/>
        <w:tblCellMar>
          <w:top w:w="28" w:type="dxa"/>
          <w:left w:w="28" w:type="dxa"/>
          <w:bottom w:w="28" w:type="dxa"/>
          <w:right w:w="28" w:type="dxa"/>
        </w:tblCellMar>
      </w:tblPr>
      <w:tblGrid>
        <w:gridCol w:w="3347"/>
        <w:gridCol w:w="3347"/>
      </w:tblGrid>
      <w:tr>
        <w:trPr/>
        <w:tc>
          <w:tcPr>
            <w:tcW w:w="3347" w:type="dxa"/>
            <w:tcBorders/>
            <w:vAlign w:val="center"/>
          </w:tcPr>
          <w:p>
            <w:pPr>
              <w:pStyle w:val="TableContents"/>
              <w:bidi w:val="0"/>
              <w:spacing w:before="0" w:after="0"/>
              <w:jc w:val="left"/>
              <w:rPr/>
            </w:pPr>
            <w:r>
              <w:rPr/>
              <w:t> </w:t>
            </w:r>
          </w:p>
          <w:tbl>
            <w:tblPr>
              <w:tblW w:w="3226" w:type="dxa"/>
              <w:jc w:val="left"/>
              <w:tblInd w:w="0" w:type="dxa"/>
              <w:tblLayout w:type="fixed"/>
              <w:tblCellMar>
                <w:top w:w="28" w:type="dxa"/>
                <w:left w:w="28" w:type="dxa"/>
                <w:bottom w:w="28" w:type="dxa"/>
                <w:right w:w="28" w:type="dxa"/>
              </w:tblCellMar>
            </w:tblPr>
            <w:tblGrid>
              <w:gridCol w:w="3226"/>
            </w:tblGrid>
            <w:tr>
              <w:trPr/>
              <w:tc>
                <w:tcPr>
                  <w:tcW w:w="3226" w:type="dxa"/>
                  <w:tcBorders/>
                  <w:vAlign w:val="center"/>
                </w:tcPr>
                <w:p>
                  <w:pPr>
                    <w:pStyle w:val="TableContents"/>
                    <w:bidi w:val="0"/>
                    <w:spacing w:before="0" w:after="0"/>
                    <w:jc w:val="left"/>
                    <w:rPr/>
                  </w:pPr>
                  <w:r>
                    <w:rPr/>
                    <w:t>First Round Capital VIII-F, L.P.</w:t>
                  </w:r>
                </w:p>
              </w:tc>
            </w:tr>
          </w:tbl>
          <w:p>
            <w:pPr>
              <w:pStyle w:val="TableContents"/>
              <w:bidi w:val="0"/>
              <w:spacing w:before="0" w:after="283"/>
              <w:jc w:val="left"/>
              <w:rPr/>
            </w:pPr>
            <w:r>
              <w:rPr/>
            </w:r>
          </w:p>
        </w:tc>
        <w:tc>
          <w:tcPr>
            <w:tcW w:w="334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3"/>
        <w:gridCol w:w="4232"/>
      </w:tblGrid>
      <w:tr>
        <w:trPr/>
        <w:tc>
          <w:tcPr>
            <w:tcW w:w="59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Jeffrey Donnon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Jeffrey Donnon / Chief Financial Officer of FR Capital Holdings, L.P., its Management Company</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3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1 - Joint Filing Agreement, dated March 23, 2026, by and among FR Capital Holdings, L.P., First Round Capital VI, L.P. and First Round Capital VIII-F, L.P. (incorporated by reference to Exhibit 1 to the Schedule 13G filed with the Securities and Exchange Commission on March 23, 2026).</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1635</Words>
  <Characters>8686</Characters>
  <CharactersWithSpaces>10271</CharactersWithSpaces>
  <Paragraphs>258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