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6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672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Ravestein Leslie Renee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CAUSEWAY STREET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23RD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Merlin,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MRLN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CLO and Secretary</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0000FF"/>
              </w:rPr>
              <w:t>05/20/2026</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199,036</w:t>
            </w: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199,036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6.64</w:t>
            </w:r>
          </w:p>
        </w:tc>
        <w:tc>
          <w:tcPr>
            <w:tcW w:w="140" w:type="dxa"/>
            <w:vAlign w:val="bottom"/>
          </w:tcPr>
          <w:p>
            <w:pPr>
              <w:spacing w:after="0"/>
              <w:rPr>
                <w:sz w:val="21"/>
                <w:szCs w:val="21"/>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205,475</w:t>
            </w:r>
          </w:p>
        </w:tc>
        <w:tc>
          <w:tcPr>
            <w:tcW w:w="280" w:type="dxa"/>
            <w:vAlign w:val="bottom"/>
          </w:tcPr>
          <w:p>
            <w:pPr>
              <w:spacing w:after="0"/>
              <w:rPr>
                <w:sz w:val="21"/>
                <w:szCs w:val="21"/>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05/20/2036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205,475</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205,475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-1651635</wp:posOffset>
            </wp:positionV>
            <wp:extent cx="28575" cy="1656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567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(i) 184,036 restricted stock units (RSUs), which vest in three equal annual installments beginning on March 16, 2027, and (ii) 15,000 RSUs, which vest in four equal installments every six months beginning on September 16, 2026. Each RSU represents a contingent right to receive one share of Common Stock. The RSUs do not expire.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underlying shares on November 12, 2026, and the remaining will vest in 36 substantially equal monthly installments thereafter.</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Leslie Renee Ravestein</w:t>
            </w:r>
          </w:p>
        </w:tc>
        <w:tc>
          <w:tcPr>
            <w:tcW w:w="4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05/22/2026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7606" TargetMode="External"/><Relationship Id="rId14" Type="http://schemas.openxmlformats.org/officeDocument/2006/relationships/hyperlink" Target="http://www.sec.gov/cgi-bin/browse-edgar?action=getcompany&amp;CIK=0002028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2026-05-22T06:27:43Z</dcterms:created>
  <dcterms:modified xsi:type="dcterms:W3CDTF">2026-05-22T06:27:43Z</dcterms:modified>
</cp:coreProperties>
</file>