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 Capital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Merlin, Inc.</w:t>
              </w:r>
            </w:hyperlink>
            <w:r>
              <w:rPr/>
              <w:t xml:space="preserve"> [ </w:t>
            </w:r>
            <w:r>
              <w:rPr>
                <w:rFonts w:ascii="Times;serif" w:hAnsi="Times;serif"/>
                <w:color w:val="0000FF"/>
                <w:sz w:val="24"/>
                <w:shd w:fill="FFFFFF" w:val="clear"/>
              </w:rPr>
              <w:t>MRLN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5"/>
        <w:gridCol w:w="904"/>
        <w:gridCol w:w="774"/>
        <w:gridCol w:w="600"/>
        <w:gridCol w:w="343"/>
        <w:gridCol w:w="1140"/>
        <w:gridCol w:w="439"/>
        <w:gridCol w:w="602"/>
        <w:gridCol w:w="1137"/>
        <w:gridCol w:w="979"/>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6,651,292</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(3)(4)</w:t>
            </w:r>
          </w:p>
        </w:tc>
      </w:tr>
      <w:tr>
        <w:trPr/>
        <w:tc>
          <w:tcPr>
            <w:tcW w:w="22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5,097,669</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First Round Capital VI, L.P. ("FRCVI") distributed these shares to its partners on a pro rata basis,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First Round Capital VIII F, L.P. ("FRCVIII F") distributed these shares to its partners on a pro rata basis,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FR Capital Holdings, L.P., a Delaware limited partnership (the "Reporting Person"), is the investment manager of FRCVI, First Round Capital VI Partners Fund, L.P. ("FRCVI Partners"), FRCVIII F, and First Round Capital VIII F Partners Fund, L.P. ("FRCVIII F Partners"). The Reporting Person is managed by an investment committee comprised of three individuals. As a result, the Reporting Person may be deemed to have beneficial ownership of the securities reported herein. The Reporting Person disclaims beneficial ownership of the securities except to the extent of its pecuniary interest therein,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securities were directly held by FRCVI, as nominee for itself and FRCVI Partners.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securities were directly held by FRCVIII F, as nominee for itself and FRCVIII F Partners.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Donnon, Chief Financial Officer of FR Capital Holdings,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6703" TargetMode="External"/><Relationship Id="rId5" Type="http://schemas.openxmlformats.org/officeDocument/2006/relationships/hyperlink" Target="http://www.sec.gov/cgi-bin/browse-edgar?action=getcompany&amp;CIK=00020287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785</Words>
  <Characters>4222</Characters>
  <CharactersWithSpaces>4927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