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511.xml.htm"/>
      <w:bookmarkStart w:id="1" w:name="kswkform4_17897635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Carrithers Ryan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CAUSEWAY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Merlin, Inc.</w:t>
              </w:r>
            </w:hyperlink>
            <w:r>
              <w:rPr/>
              <w:t xml:space="preserve"> [ </w:t>
            </w:r>
            <w:r>
              <w:rPr>
                <w:rFonts w:ascii="Times;serif" w:hAnsi="Times;serif"/>
                <w:color w:val="0000FF"/>
                <w:sz w:val="24"/>
                <w:shd w:fill="FFFFFF" w:val="clear"/>
              </w:rPr>
              <w:t>MRLN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255,343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the Reporting Person's tax withholding obligations in connection with the vesting of restricted stock units on September 16, 2026. The price reported reflects the closing price of the Issuer's common stock on the vesting date, used solely to determine the number of shares withheld.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R. Ravestein,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603" TargetMode="External"/><Relationship Id="rId5" Type="http://schemas.openxmlformats.org/officeDocument/2006/relationships/hyperlink" Target="http://www.sec.gov/cgi-bin/browse-edgar?action=getcompany&amp;CIK=000202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3382</Characters>
  <CharactersWithSpaces>3934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