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MERLIN,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Ayrton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2,087,905.00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2,087,905.00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2,087,905.00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Alto Opportunity Master Fund, SPC - Segregated Master Portfolio B</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2,087,905.00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2,087,905.00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2,087,905.00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Waqas Khatri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2,087,905.00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2,087,905.00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2,087,905.00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MERLIN,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129 South Street, Boston, MA, 02111</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Ayrton Capital LLC; (ii) Alto Opportunity Master Fund, SPC - Segregated Master Portfolio B; and (iii) Waqas Khatri</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Ayrton Capital LLC, 55 Post Rd West, 2nd Floor Westport, CT 06880; (ii) Alto Opportunity Master Fund, SPC - Segregated Master Portfolio B, Suite #7 Grand Pavilion Commercial Centre, 802 West Bay Road, Grand Cayman, P.O. Box 10250, Cayman Islands; and (iii) Waqas Khatri 55 Post Rd West, 2nd Floor Westport, CT 06880</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(i) Ayrton Capital LLC: United States; (ii) Alto Opportunity Master Fund, SPC - Segregated Master Portfolio B: Cayman Islands; and (iii) Waqas Khatri: United States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Ayrton Capital LLC: 2,087,905; (ii) Alto Opportunity Master Fund, SPC - Segregated Master Portfolio B: 2,087,905; and (iii) Waqas Khatri: 2,087,905. Represents (i) 33 shares of Common Stock held by the Reporting Persons; (ii) 2,087,872 shares of Common Stock issuable on the exercise of certain warrants (the "Warrants") and conversion of certain convertible preferred equity shares (the "Notes") held by the Reporting Persons. The issuable shares of Common Stock related to the exercise of the Warrants and conversion of the preferred equity shares are both subject to a 9.99% beneficial ownership blocker. The shares reported herein represent Common Stock of MERLIN, INC. (the "Issuer") held by Alto Opportunity Master Fund, SPC- Segregated Master Portfolio B, a Cayman Islands exempted company (the "Fund"). The Fund is a private investment vehicle for which Ayrton Capital LLC, a Delaware limited liability company (the "Investment Manager"), serves as the investment manager. Waqas Khatri serves as the managing member of the Investment Manager (all of the foregoing,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percentages below are based on (i) 96,524,052 shares of Class A Common Stock of the Issuer that were outstanding as of May 13, 2026; and (ii) 2,087,872 shares of Common Stock issuable on the exercise of the Warrants and conversion of preferred equity shares held by the Reporting Persons. The amount of shares outstanding was based upon a statement in the Issuer's 10-Q filed on May 15, 2026. For the sake of clarity, the holdings of the Reporting Persons reported herein are as of June 30, 2026. (i) Ayrton Capital LLC: 2.12%; (ii) Alto Opportunity Master Fund, SPC - Segregated Master Portfolio B: 2.12%; and (iii) Waqas Khatri: 2.12%.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 Ayrton Capital LLC: 2,087,905; (ii) Alto Opportunity Master Fund, SPC - Segregated Master Portfolio B: 2,087,905; and (iii) Waqas Khatri: 2,087,905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 Ayrton Capital LLC: 0; (ii) Alto Opportunity Master Fund, SPC - Segregated Master Portfolio B: 0; and (iii) Waqas Khatri: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 Ayrton Capital LLC: 2,087,905; Alto Opportunity Master Fund, SPC - Segregated Master Portfolio B: 2,087,905; Waqas Khatri: 2,087,905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 Ayrton Capital LLC: 0; (ii) Alto Opportunity Master Fund, SPC - Segregated Master Portfolio B: 0; (iii) Waqas Khatri: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Ayrton Capital LLC</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Waqas Khatri</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Waqas Khatri / 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85"/>
        <w:gridCol w:w="4920"/>
      </w:tblGrid>
      <w:tr>
        <w:trPr/>
        <w:tc>
          <w:tcPr>
            <w:tcW w:w="5285" w:type="dxa"/>
            <w:tcBorders/>
            <w:vAlign w:val="center"/>
          </w:tcPr>
          <w:p>
            <w:pPr>
              <w:pStyle w:val="TableContents"/>
              <w:bidi w:val="0"/>
              <w:spacing w:before="0" w:after="0"/>
              <w:jc w:val="left"/>
              <w:rPr/>
            </w:pPr>
            <w:r>
              <w:rPr/>
              <w:t> </w:t>
            </w:r>
          </w:p>
          <w:tbl>
            <w:tblPr>
              <w:tblW w:w="6676" w:type="dxa"/>
              <w:jc w:val="left"/>
              <w:tblInd w:w="0" w:type="dxa"/>
              <w:tblLayout w:type="fixed"/>
              <w:tblCellMar>
                <w:top w:w="28" w:type="dxa"/>
                <w:left w:w="28" w:type="dxa"/>
                <w:bottom w:w="28" w:type="dxa"/>
                <w:right w:w="28" w:type="dxa"/>
              </w:tblCellMar>
            </w:tblPr>
            <w:tblGrid>
              <w:gridCol w:w="6676"/>
            </w:tblGrid>
            <w:tr>
              <w:trPr/>
              <w:tc>
                <w:tcPr>
                  <w:tcW w:w="6676" w:type="dxa"/>
                  <w:tcBorders/>
                  <w:vAlign w:val="center"/>
                </w:tcPr>
                <w:p>
                  <w:pPr>
                    <w:pStyle w:val="TableContents"/>
                    <w:bidi w:val="0"/>
                    <w:spacing w:before="0" w:after="0"/>
                    <w:jc w:val="left"/>
                    <w:rPr/>
                  </w:pPr>
                  <w:r>
                    <w:rPr/>
                    <w:t>Alto Opportunity Master Fund, SPC - Segregated Master Portfolio B</w:t>
                  </w:r>
                </w:p>
              </w:tc>
            </w:tr>
          </w:tbl>
          <w:p>
            <w:pPr>
              <w:pStyle w:val="TableContents"/>
              <w:bidi w:val="0"/>
              <w:spacing w:before="0" w:after="283"/>
              <w:jc w:val="left"/>
              <w:rPr/>
            </w:pPr>
            <w:r>
              <w:rPr/>
            </w:r>
          </w:p>
        </w:tc>
        <w:tc>
          <w:tcPr>
            <w:tcW w:w="49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Waqas Khatri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Waqas Khatri /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Waqas Khatri</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3"/>
        <w:gridCol w:w="4462"/>
      </w:tblGrid>
      <w:tr>
        <w:trPr/>
        <w:tc>
          <w:tcPr>
            <w:tcW w:w="57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Waqas Khatri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Waqas Khatri</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1442</Words>
  <Characters>7497</Characters>
  <CharactersWithSpaces>8894</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