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Merlin,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Inflection Point Fund 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10,473,478.00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10,473,478.00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10,473,478.00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Inflection Point GP 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10,473,478.00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10,473,478.00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10,473,478.00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Inflection Point Asset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10,473,478.00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10,473,478.00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10,473,478.00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Merlin,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Causeway, Floor 23, Boston, MA 02114</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Inflection Point Fund I, LP ("IPF"), Inflection Point GP I LLC ("IPGP") and Inflection Point Asset Management LLC ("IPAM,"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Persons is 1680 Michigan Ave, Suite 700 #1016, Miami Beach, FL 33139.</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 to row 9 of the cover page of each Reporting Person. Consists of (i) 5,734,167 shares of Common Stock held by IPF and (ii) 4,739,311 of (a) 3,034,150 shares of Common Stock issuable upon conversion of 1,573,570 shares of 12.0% Series A Cumulative Convertible Preferred Stock ("Series A Preferred Stock") held by IPF (taking into account approximate accrued and unpaid dividends through October 12, 2026 and a $6.66 conversion price) and (b) 3,100,161 shares of Common Stock issuable upon exercise of a common stock purchase warrant (the "Warrant") held by IPF (taking into account a $6.66 conversion price), convertible or exercisable, as applicable, within 60 days. IPF has implemented beneficial ownership blockers, pursuant to which it may not convert Series A Preferred Stock or exercise the Warrant to the extent that after giving effect to such conversion or exercise, IPF (together with its affiliates, and any persons acting as a group together with it or any of its affiliates) would beneficially own in excess of 9.9% of the outstanding Common Stock calculated in accordance with the rules of the U.S. Securities and Exchange Commission (the "Beneficial Ownership Blocker"). Excludes 1,395,000 shares of Common Stock issuable upon conversion of Series A Preferred Stock or exercise of the Warrant which are deemed not convertible or exercisable within 60 days pursuant to the Beneficial Ownership Blocker. IPAM and IPGP are the investment manager and general partner, respectively, of IPF. Voting and dispositive power over securities beneficially owned by IPF are vested in an investment committee of three members, including Michael Blitzer, a director of the Issuer, Kevin Shannon, who assisted the Issuer with its business combination with Merlin Labs, Inc., and a third individual who does not have, and has not had during the past three years, any relationship with the Issuer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 to row 11 of the cover page of each Reporting Person. Percentage ownership was based on (i) 101,067,784 shares of Common Stock outstanding as reported in the Issuer's Quarterly Report on Form 10-Q filed with the SEC on August 14, 2026, plus 4,739,311 of (a) 3,034,150 shares of Common Stock issuable upon conversion of 1,573,570 shares of Series A Preferred Stock held by IPF (taking into account approximate accrued and unpaid dividends through October 12, 2026 and a $6.66 conversion price) and (b) 3,100,161 shares of Common Stock issuable upon exercise of the Warrant held by IPF (taking into account a $6.66 conversion price), that may be acquired without exceeding the Beneficial Ownership Blocker.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 to row 5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 to row 6 of the cover page of each Reporting Person, as well as the answer to Item 4 (a).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 to row 7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 to row 8 of the cover page of each Reporting Person, as well as the answer to Item 4 (a).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Inflection Point Fund I, LP</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Michael Blitzer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Michael Blitzer / Chief Investment Officer of Investment Manager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10/12/2026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Inflection Point GP I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Blitzer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Blitzer /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10/12/2026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8384" w:type="dxa"/>
        <w:jc w:val="left"/>
        <w:tblInd w:w="0" w:type="dxa"/>
        <w:tblLayout w:type="fixed"/>
        <w:tblCellMar>
          <w:top w:w="28" w:type="dxa"/>
          <w:left w:w="28" w:type="dxa"/>
          <w:bottom w:w="28" w:type="dxa"/>
          <w:right w:w="28" w:type="dxa"/>
        </w:tblCellMar>
      </w:tblPr>
      <w:tblGrid>
        <w:gridCol w:w="4192"/>
        <w:gridCol w:w="4192"/>
      </w:tblGrid>
      <w:tr>
        <w:trPr/>
        <w:tc>
          <w:tcPr>
            <w:tcW w:w="4192" w:type="dxa"/>
            <w:tcBorders/>
            <w:vAlign w:val="center"/>
          </w:tcPr>
          <w:p>
            <w:pPr>
              <w:pStyle w:val="TableContents"/>
              <w:bidi w:val="0"/>
              <w:spacing w:before="0" w:after="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0"/>
                    <w:jc w:val="left"/>
                    <w:rPr/>
                  </w:pPr>
                  <w:r>
                    <w:rPr/>
                    <w:t>Inflection Point Asset Management LLC</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Blitzer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Blitzer / Chief Investment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10/12/2026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9241" w:type="dxa"/>
        <w:jc w:val="left"/>
        <w:tblInd w:w="0" w:type="dxa"/>
        <w:tblLayout w:type="fixed"/>
        <w:tblCellMar>
          <w:top w:w="28" w:type="dxa"/>
          <w:left w:w="28" w:type="dxa"/>
          <w:bottom w:w="28" w:type="dxa"/>
          <w:right w:w="28" w:type="dxa"/>
        </w:tblCellMar>
      </w:tblPr>
      <w:tblGrid>
        <w:gridCol w:w="9241"/>
      </w:tblGrid>
      <w:tr>
        <w:trPr/>
        <w:tc>
          <w:tcPr>
            <w:tcW w:w="9241" w:type="dxa"/>
            <w:tcBorders/>
            <w:vAlign w:val="center"/>
          </w:tcPr>
          <w:p>
            <w:pPr>
              <w:pStyle w:val="TableContents"/>
              <w:bidi w:val="0"/>
              <w:spacing w:before="0" w:after="283"/>
              <w:jc w:val="center"/>
              <w:rPr>
                <w:b/>
              </w:rPr>
            </w:pPr>
            <w:r>
              <w:rPr>
                <w:b/>
              </w:rPr>
              <w:t xml:space="preserve">Exhibit Information </w:t>
            </w:r>
          </w:p>
        </w:tc>
      </w:tr>
      <w:tr>
        <w:trPr/>
        <w:tc>
          <w:tcPr>
            <w:tcW w:w="9241" w:type="dxa"/>
            <w:tcBorders/>
            <w:vAlign w:val="center"/>
          </w:tcPr>
          <w:p>
            <w:pPr>
              <w:pStyle w:val="TableContents"/>
              <w:bidi w:val="0"/>
              <w:spacing w:before="0" w:after="283"/>
              <w:jc w:val="left"/>
              <w:rPr/>
            </w:pPr>
            <w:r>
              <w:rPr/>
              <w:t>Exhibit 1 - Joint Filing Agreement, dated as of October 12, 2026, among the Reporting Persons.</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837801ex1.htm"/>
      <w:bookmarkStart w:id="25" w:name="ksea030837801ex1"/>
      <w:bookmarkEnd w:id="24"/>
      <w:bookmarkEnd w:id="25"/>
      <w:r>
        <w:rPr>
          <w:rFonts w:ascii="Times New Roman;Times;Serif" w:hAnsi="Times New Roman;Times;Serif"/>
          <w:b/>
          <w:i w:val="false"/>
          <w:caps w:val="false"/>
          <w:smallCaps w:val="false"/>
          <w:sz w:val="20"/>
        </w:rPr>
        <w:t>Exhibit 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Merlin, Inc., a Delaware corporation,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12, 2026</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710"/>
        <w:gridCol w:w="5645"/>
      </w:tblGrid>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INFLECTION POINT ASSET MANAGEMENT LLC</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56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Investment Officer</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INFLECTION POINT FUND I, LP</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Inflection Point Asset Management, its investment manager</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56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Investment Officer</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INFLECTION POINT GP I LLC</w:t>
            </w:r>
          </w:p>
        </w:tc>
      </w:tr>
      <w:tr>
        <w:trPr/>
        <w:tc>
          <w:tcPr>
            <w:tcW w:w="75" w:type="dxa"/>
            <w:tcBorders/>
            <w:vAlign w:val="center"/>
          </w:tcPr>
          <w:p>
            <w:pPr>
              <w:pStyle w:val="TableContents"/>
              <w:bidi w:val="0"/>
              <w:spacing w:before="0" w:after="283"/>
              <w:jc w:val="left"/>
              <w:rPr/>
            </w:pPr>
            <w:r>
              <w:rPr/>
              <w:t> </w:t>
            </w:r>
          </w:p>
        </w:tc>
        <w:tc>
          <w:tcPr>
            <w:tcW w:w="63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56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Michael Blitzer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Name: </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Blitzer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1889</Words>
  <Characters>9811</Characters>
  <CharactersWithSpaces>11664</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