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2574-8k_merlin.htm"/>
      <w:bookmarkStart w:id="1" w:name="ksea02825748k_merli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8_edei--DocumentType_c2026031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March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6_edei--EntityRegistrantName_c2026"/>
      <w:bookmarkEnd w:id="4"/>
      <w:r>
        <w:rPr>
          <w:rFonts w:ascii="Times New Roman;Times;Serif" w:hAnsi="Times New Roman;Times;Serif"/>
          <w:b/>
          <w:i w:val="false"/>
          <w:caps w:val="false"/>
          <w:smallCaps w:val="false"/>
          <w:sz w:val="20"/>
        </w:rPr>
        <w:t xml:space="preserve">MERLIN,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9_edei--EntityFileNumber_c20260316"/>
            <w:bookmarkEnd w:id="6"/>
            <w:r>
              <w:rPr>
                <w:b/>
                <w:sz w:val="20"/>
              </w:rPr>
              <w:t>001-42392</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5_edei--EntityTaxIdentificationNum"/>
            <w:bookmarkEnd w:id="7"/>
            <w:r>
              <w:rPr>
                <w:b/>
                <w:sz w:val="20"/>
              </w:rPr>
              <w:t>98-1797826</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r>
          </w:p>
        </w:tc>
      </w:tr>
      <w:tr>
        <w:trPr/>
        <w:tc>
          <w:tcPr>
            <w:tcW w:w="2165" w:type="dxa"/>
            <w:tcBorders/>
            <w:tcMar>
              <w:bottom w:w="0" w:type="dxa"/>
            </w:tcMar>
            <w:vAlign w:val="center"/>
          </w:tcPr>
          <w:p>
            <w:pPr>
              <w:pStyle w:val="TableContents"/>
              <w:bidi w:val="0"/>
              <w:spacing w:before="0" w:after="283"/>
              <w:jc w:val="center"/>
              <w:rPr>
                <w:sz w:val="20"/>
              </w:rPr>
            </w:pPr>
            <w:r>
              <w:rPr>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129 South Street</w:t>
      </w:r>
    </w:p>
    <w:p>
      <w:pPr>
        <w:pStyle w:val="TextBody"/>
        <w:bidi w:val="0"/>
        <w:spacing w:before="0" w:after="0"/>
        <w:ind w:left="360" w:right="0" w:hanging="360"/>
        <w:jc w:val="center"/>
        <w:rPr>
          <w:rFonts w:ascii="Times New Roman;Times;Serif" w:hAnsi="Times New Roman;Times;Serif"/>
          <w:b/>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Boston, </w:t>
      </w:r>
      <w:bookmarkStart w:id="10" w:name="xdx_90A_edei--EntityAddressStateOrProvin"/>
      <w:bookmarkEnd w:id="10"/>
      <w:r>
        <w:rPr>
          <w:rFonts w:ascii="Times New Roman;Times;Serif" w:hAnsi="Times New Roman;Times;Serif"/>
          <w:b/>
          <w:i w:val="false"/>
          <w:caps w:val="false"/>
          <w:smallCaps w:val="false"/>
          <w:sz w:val="20"/>
        </w:rPr>
        <w:t xml:space="preserve">MA </w:t>
      </w:r>
      <w:bookmarkStart w:id="11" w:name="xdx_909_edei--EntityAddressPostalZipCode"/>
      <w:bookmarkEnd w:id="11"/>
      <w:r>
        <w:rPr>
          <w:rFonts w:ascii="Times New Roman;Times;Serif" w:hAnsi="Times New Roman;Times;Serif"/>
          <w:b/>
          <w:i w:val="false"/>
          <w:caps w:val="false"/>
          <w:smallCaps w:val="false"/>
          <w:sz w:val="20"/>
        </w:rPr>
        <w:t>02111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4_edei--CityAreaCode_c20260316__20"/>
      <w:bookmarkEnd w:id="12"/>
      <w:r>
        <w:rPr>
          <w:rFonts w:ascii="Times New Roman;Times;Serif" w:hAnsi="Times New Roman;Times;Serif"/>
          <w:b/>
          <w:i w:val="false"/>
          <w:caps w:val="false"/>
          <w:smallCaps w:val="false"/>
          <w:sz w:val="20"/>
        </w:rPr>
        <w:t xml:space="preserve">857) </w:t>
      </w:r>
      <w:bookmarkStart w:id="13" w:name="xdx_906_edei--LocalPhoneNumber_c20260316"/>
      <w:bookmarkEnd w:id="13"/>
      <w:r>
        <w:rPr>
          <w:rFonts w:ascii="Times New Roman;Times;Serif" w:hAnsi="Times New Roman;Times;Serif"/>
          <w:b/>
          <w:i w:val="false"/>
          <w:caps w:val="false"/>
          <w:smallCaps w:val="false"/>
          <w:sz w:val="20"/>
        </w:rPr>
        <w:t>201-3979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D_edei--EntityInformationFormerLeg"/>
      <w:bookmarkEnd w:id="14"/>
      <w:r>
        <w:rPr>
          <w:rFonts w:ascii="Times New Roman;Times;Serif" w:hAnsi="Times New Roman;Times;Serif"/>
          <w:b/>
          <w:i w:val="false"/>
          <w:caps w:val="false"/>
          <w:smallCaps w:val="false"/>
          <w:sz w:val="20"/>
        </w:rPr>
        <w:t>INFLECTION POINT ACQUISITION CORP. IV</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B_edei--EntityAddressAddressLine1_"/>
      <w:bookmarkEnd w:id="15"/>
      <w:r>
        <w:rPr>
          <w:rFonts w:ascii="Times New Roman;Times;Serif" w:hAnsi="Times New Roman;Times;Serif"/>
          <w:b/>
          <w:i w:val="false"/>
          <w:caps w:val="false"/>
          <w:smallCaps w:val="false"/>
          <w:sz w:val="20"/>
        </w:rPr>
        <w:t>1345 Avenue of the Americas, Fl 47</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A_edei--EntityAddressCityOrTown_c2"/>
      <w:bookmarkEnd w:id="16"/>
      <w:r>
        <w:rPr>
          <w:rFonts w:ascii="Times New Roman;Times;Serif" w:hAnsi="Times New Roman;Times;Serif"/>
          <w:b/>
          <w:i w:val="false"/>
          <w:caps w:val="false"/>
          <w:smallCaps w:val="false"/>
          <w:sz w:val="20"/>
        </w:rPr>
        <w:t xml:space="preserve">New York, </w:t>
      </w:r>
      <w:bookmarkStart w:id="17" w:name="xdx_903_edei--EntityAddressStateOrProvin"/>
      <w:bookmarkEnd w:id="17"/>
      <w:r>
        <w:rPr>
          <w:rFonts w:ascii="Times New Roman;Times;Serif" w:hAnsi="Times New Roman;Times;Serif"/>
          <w:b/>
          <w:i w:val="false"/>
          <w:caps w:val="false"/>
          <w:smallCaps w:val="false"/>
          <w:sz w:val="20"/>
        </w:rPr>
        <w:t xml:space="preserve">NY </w:t>
      </w:r>
      <w:bookmarkStart w:id="18" w:name="xdx_903_edei--EntityAddressPostalZipCode"/>
      <w:bookmarkEnd w:id="18"/>
      <w:r>
        <w:rPr>
          <w:rFonts w:ascii="Times New Roman;Times;Serif" w:hAnsi="Times New Roman;Times;Serif"/>
          <w:b/>
          <w:i w:val="false"/>
          <w:caps w:val="false"/>
          <w:smallCaps w:val="false"/>
          <w:sz w:val="20"/>
        </w:rPr>
        <w:t>10105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9" w:name="xdx_90D_edei--CityAreaCode_c20260316__20"/>
      <w:bookmarkEnd w:id="19"/>
      <w:r>
        <w:rPr>
          <w:rFonts w:ascii="Times New Roman;Times;Serif" w:hAnsi="Times New Roman;Times;Serif"/>
          <w:b/>
          <w:i w:val="false"/>
          <w:caps w:val="false"/>
          <w:smallCaps w:val="false"/>
          <w:sz w:val="20"/>
        </w:rPr>
        <w:t xml:space="preserve">212) </w:t>
      </w:r>
      <w:bookmarkStart w:id="20" w:name="xdx_90D_edei--LocalPhoneNumber_c20260316"/>
      <w:bookmarkEnd w:id="20"/>
      <w:r>
        <w:rPr>
          <w:rFonts w:ascii="Times New Roman;Times;Serif" w:hAnsi="Times New Roman;Times;Serif"/>
          <w:b/>
          <w:i w:val="false"/>
          <w:caps w:val="false"/>
          <w:smallCaps w:val="false"/>
          <w:sz w:val="20"/>
        </w:rPr>
        <w:t>984-3835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21" w:name="xdx_906_edei--WrittenCommunications_c202"/>
            <w:bookmarkEnd w:id="21"/>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22" w:name="xdx_902_edei--SolicitingMaterial_c202603"/>
            <w:bookmarkEnd w:id="22"/>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23" w:name="xdx_90D_edei--PreCommencementTenderOffer"/>
            <w:bookmarkEnd w:id="23"/>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center"/>
              <w:rPr/>
            </w:pPr>
            <w:r>
              <w:rPr/>
              <w:t> </w:t>
            </w:r>
          </w:p>
        </w:tc>
      </w:tr>
      <w:tr>
        <w:trPr/>
        <w:tc>
          <w:tcPr>
            <w:tcW w:w="245" w:type="dxa"/>
            <w:tcBorders/>
            <w:vAlign w:val="center"/>
          </w:tcPr>
          <w:p>
            <w:pPr>
              <w:pStyle w:val="TableContents"/>
              <w:bidi w:val="0"/>
              <w:spacing w:before="0" w:after="283"/>
              <w:jc w:val="left"/>
              <w:rPr/>
            </w:pPr>
            <w:bookmarkStart w:id="24" w:name="xdx_903_edei--PreCommencementIssuerTende"/>
            <w:bookmarkEnd w:id="24"/>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25" w:name="xdx_90D_edei--Security12bTitle_c20260316"/>
            <w:bookmarkEnd w:id="25"/>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6" w:name="xdx_90D_edei--TradingSymbol_c20260316__2"/>
            <w:bookmarkEnd w:id="26"/>
            <w:r>
              <w:rPr>
                <w:sz w:val="20"/>
              </w:rPr>
              <w:t>MRLN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7" w:name="xdx_903_edei--SecurityExchangeName_c2026"/>
            <w:bookmarkEnd w:id="27"/>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6_edei--EntityEmergingGrowthCompan"/>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2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Terms used in this Current Report on Form 8-K (this “</w:t>
      </w:r>
      <w:r>
        <w:rPr>
          <w:rFonts w:ascii="Times New Roman;Times;Serif" w:hAnsi="Times New Roman;Times;Serif"/>
          <w:b/>
          <w:i w:val="false"/>
          <w:caps w:val="false"/>
          <w:smallCaps w:val="false"/>
          <w:sz w:val="20"/>
          <w:shd w:fill="FFFFFF" w:val="clear"/>
        </w:rPr>
        <w:t>Current Report</w:t>
      </w:r>
      <w:r>
        <w:rPr>
          <w:rFonts w:ascii="Times New Roman;Times;Serif" w:hAnsi="Times New Roman;Times;Serif"/>
          <w:b w:val="false"/>
          <w:i w:val="false"/>
          <w:caps w:val="false"/>
          <w:smallCaps w:val="false"/>
          <w:sz w:val="20"/>
          <w:shd w:fill="FFFFFF" w:val="clear"/>
        </w:rPr>
        <w:t>”) but not defined herein, or for which definitions are not otherwise incorporated by reference herein, shall have the meaning given to such terms in the Proxy Statement/Prospectus (as defined below) in the section entitled “</w:t>
      </w:r>
      <w:r>
        <w:rPr>
          <w:rFonts w:ascii="Times New Roman;Times;Serif" w:hAnsi="Times New Roman;Times;Serif"/>
          <w:b w:val="false"/>
          <w:i/>
          <w:caps w:val="false"/>
          <w:smallCaps w:val="false"/>
          <w:sz w:val="20"/>
          <w:shd w:fill="FFFFFF" w:val="clear"/>
        </w:rPr>
        <w:t>Frequently Used Terms</w:t>
      </w:r>
      <w:r>
        <w:rPr>
          <w:rFonts w:ascii="Times New Roman;Times;Serif" w:hAnsi="Times New Roman;Times;Serif"/>
          <w:b w:val="false"/>
          <w:i w:val="false"/>
          <w:caps w:val="false"/>
          <w:smallCaps w:val="false"/>
          <w:sz w:val="20"/>
          <w:shd w:fill="FFFFFF" w:val="clear"/>
        </w:rPr>
        <w:t>” and such definitions are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incorporates by reference certain information from reports and other documents that were previously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including certain information from the Proxy Statement/Prospectus. To the extent there is a conflict between the information contained in this Current Report and the information contained in such prior reports and documents incorporated by reference herein, the information in this Current Report controls.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previously announced, on August 13, 2025, Inflection Point Acquisition Corp. IV (f/k/a Bleichroeder Acquisition Corp. I), a Cayman Islands exempted company (“</w:t>
      </w:r>
      <w:r>
        <w:rPr>
          <w:rFonts w:ascii="Times New Roman;Times;Serif" w:hAnsi="Times New Roman;Times;Serif"/>
          <w:b/>
          <w:i w:val="false"/>
          <w:caps w:val="false"/>
          <w:smallCaps w:val="false"/>
          <w:sz w:val="20"/>
          <w:shd w:fill="FFFFFF" w:val="clear"/>
        </w:rPr>
        <w:t>Inflection Point</w:t>
      </w:r>
      <w:r>
        <w:rPr>
          <w:rFonts w:ascii="Times New Roman;Times;Serif" w:hAnsi="Times New Roman;Times;Serif"/>
          <w:b w:val="false"/>
          <w:i w:val="false"/>
          <w:caps w:val="false"/>
          <w:smallCaps w:val="false"/>
          <w:sz w:val="20"/>
          <w:shd w:fill="FFFFFF" w:val="clear"/>
        </w:rPr>
        <w:t>”), entered into a Business Combination Agreement, dated as of August 13, 2025 (as amended on March 14, 2026, the “</w:t>
      </w:r>
      <w:r>
        <w:rPr>
          <w:rFonts w:ascii="Times New Roman;Times;Serif" w:hAnsi="Times New Roman;Times;Serif"/>
          <w:b/>
          <w:i w:val="false"/>
          <w:caps w:val="false"/>
          <w:smallCaps w:val="false"/>
          <w:sz w:val="20"/>
          <w:shd w:fill="FFFFFF" w:val="clear"/>
        </w:rPr>
        <w:t>Business Combination Agreement</w:t>
      </w:r>
      <w:r>
        <w:rPr>
          <w:rFonts w:ascii="Times New Roman;Times;Serif" w:hAnsi="Times New Roman;Times;Serif"/>
          <w:b w:val="false"/>
          <w:i w:val="false"/>
          <w:caps w:val="false"/>
          <w:smallCaps w:val="false"/>
          <w:sz w:val="20"/>
          <w:shd w:fill="FFFFFF" w:val="clear"/>
        </w:rPr>
        <w:t>”), by and among Inflection Point, IPDX Merger Sub, Inc., a Delaware corporation and a direct, wholly-owned subsidiary of Inflection Point (“</w:t>
      </w:r>
      <w:r>
        <w:rPr>
          <w:rFonts w:ascii="Times New Roman;Times;Serif" w:hAnsi="Times New Roman;Times;Serif"/>
          <w:b/>
          <w:i w:val="false"/>
          <w:caps w:val="false"/>
          <w:smallCaps w:val="false"/>
          <w:sz w:val="20"/>
          <w:shd w:fill="FFFFFF" w:val="clear"/>
        </w:rPr>
        <w:t>Merger Sub</w:t>
      </w:r>
      <w:r>
        <w:rPr>
          <w:rFonts w:ascii="Times New Roman;Times;Serif" w:hAnsi="Times New Roman;Times;Serif"/>
          <w:b w:val="false"/>
          <w:i w:val="false"/>
          <w:caps w:val="false"/>
          <w:smallCaps w:val="false"/>
          <w:sz w:val="20"/>
          <w:shd w:fill="FFFFFF" w:val="clear"/>
        </w:rPr>
        <w:t>”), and Merlin Labs, Inc., a Delaware corporation (“</w:t>
      </w:r>
      <w:r>
        <w:rPr>
          <w:rFonts w:ascii="Times New Roman;Times;Serif" w:hAnsi="Times New Roman;Times;Serif"/>
          <w:b/>
          <w:i w:val="false"/>
          <w:caps w:val="false"/>
          <w:smallCaps w:val="false"/>
          <w:sz w:val="20"/>
          <w:shd w:fill="FFFFFF" w:val="clear"/>
        </w:rPr>
        <w:t>Legacy Merlin</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March 16, 2026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 as contemplated by the Business Combination Agreement and described in the section titled “</w:t>
      </w:r>
      <w:r>
        <w:rPr>
          <w:rFonts w:ascii="Times New Roman;Times;Serif" w:hAnsi="Times New Roman;Times;Serif"/>
          <w:b w:val="false"/>
          <w:i/>
          <w:caps w:val="false"/>
          <w:smallCaps w:val="false"/>
          <w:sz w:val="20"/>
          <w:shd w:fill="FFFFFF" w:val="clear"/>
        </w:rPr>
        <w:t>Proposal No. 1—The Business Combination Proposal</w:t>
      </w:r>
      <w:r>
        <w:rPr>
          <w:rFonts w:ascii="Times New Roman;Times;Serif" w:hAnsi="Times New Roman;Times;Serif"/>
          <w:b w:val="false"/>
          <w:i w:val="false"/>
          <w:caps w:val="false"/>
          <w:smallCaps w:val="false"/>
          <w:sz w:val="20"/>
          <w:shd w:fill="FFFFFF" w:val="clear"/>
        </w:rPr>
        <w:t>” of the final prospectus and definitive proxy statement, dated February 12, 2026 (the “</w:t>
      </w:r>
      <w:r>
        <w:rPr>
          <w:rFonts w:ascii="Times New Roman;Times;Serif" w:hAnsi="Times New Roman;Times;Serif"/>
          <w:b/>
          <w:i w:val="false"/>
          <w:caps w:val="false"/>
          <w:smallCaps w:val="false"/>
          <w:sz w:val="20"/>
          <w:shd w:fill="FFFFFF" w:val="clear"/>
        </w:rPr>
        <w:t>Proxy Statement/Prospectus</w:t>
      </w:r>
      <w:r>
        <w:rPr>
          <w:rFonts w:ascii="Times New Roman;Times;Serif" w:hAnsi="Times New Roman;Times;Serif"/>
          <w:b w:val="false"/>
          <w:i w:val="false"/>
          <w:caps w:val="false"/>
          <w:smallCaps w:val="false"/>
          <w:sz w:val="20"/>
          <w:shd w:fill="FFFFFF" w:val="clear"/>
        </w:rPr>
        <w:t>”) and filed with the SEC, Inflection Point, Merger Sub and Legacy Merlin consummated the transactions contemplated by the Business Combination Agreement and its related agreements (the “</w:t>
      </w:r>
      <w:r>
        <w:rPr>
          <w:rFonts w:ascii="Times New Roman;Times;Serif" w:hAnsi="Times New Roman;Times;Serif"/>
          <w:b/>
          <w:i w:val="false"/>
          <w:caps w:val="false"/>
          <w:smallCaps w:val="false"/>
          <w:sz w:val="20"/>
          <w:shd w:fill="FFFFFF" w:val="clear"/>
        </w:rPr>
        <w:t>Transactions</w:t>
      </w:r>
      <w:r>
        <w:rPr>
          <w:rFonts w:ascii="Times New Roman;Times;Serif" w:hAnsi="Times New Roman;Times;Serif"/>
          <w:b w:val="false"/>
          <w:i w:val="false"/>
          <w:caps w:val="false"/>
          <w:smallCaps w:val="false"/>
          <w:sz w:val="20"/>
          <w:shd w:fill="FFFFFF" w:val="clear"/>
        </w:rPr>
        <w:t>”), culminating in Merger Sub merging with and into Legacy Merlin (the “</w:t>
      </w:r>
      <w:r>
        <w:rPr>
          <w:rFonts w:ascii="Times New Roman;Times;Serif" w:hAnsi="Times New Roman;Times;Serif"/>
          <w:b/>
          <w:i w:val="false"/>
          <w:caps w:val="false"/>
          <w:smallCaps w:val="false"/>
          <w:sz w:val="20"/>
          <w:shd w:fill="FFFFFF" w:val="clear"/>
        </w:rPr>
        <w:t>Merger</w:t>
      </w:r>
      <w:r>
        <w:rPr>
          <w:rFonts w:ascii="Times New Roman;Times;Serif" w:hAnsi="Times New Roman;Times;Serif"/>
          <w:b w:val="false"/>
          <w:i w:val="false"/>
          <w:caps w:val="false"/>
          <w:smallCaps w:val="false"/>
          <w:sz w:val="20"/>
          <w:shd w:fill="FFFFFF" w:val="clear"/>
        </w:rPr>
        <w:t>”), with Legacy Merlin continuing as the surviving corporation (the date and time of such merger, the “</w:t>
      </w:r>
      <w:r>
        <w:rPr>
          <w:rFonts w:ascii="Times New Roman;Times;Serif" w:hAnsi="Times New Roman;Times;Serif"/>
          <w:b/>
          <w:i w:val="false"/>
          <w:caps w:val="false"/>
          <w:smallCaps w:val="false"/>
          <w:sz w:val="20"/>
          <w:shd w:fill="FFFFFF" w:val="clear"/>
        </w:rPr>
        <w:t>Effective Time</w:t>
      </w:r>
      <w:r>
        <w:rPr>
          <w:rFonts w:ascii="Times New Roman;Times;Serif" w:hAnsi="Times New Roman;Times;Serif"/>
          <w:b w:val="false"/>
          <w:i w:val="false"/>
          <w:caps w:val="false"/>
          <w:smallCaps w:val="false"/>
          <w:sz w:val="20"/>
          <w:shd w:fill="FFFFFF" w:val="clear"/>
        </w:rPr>
        <w:t>”) as a wholly-owned subsidiary of Merlin, Inc. (“</w:t>
      </w:r>
      <w:r>
        <w:rPr>
          <w:rFonts w:ascii="Times New Roman;Times;Serif" w:hAnsi="Times New Roman;Times;Serif"/>
          <w:b/>
          <w:i w:val="false"/>
          <w:caps w:val="false"/>
          <w:smallCaps w:val="false"/>
          <w:sz w:val="20"/>
          <w:shd w:fill="FFFFFF" w:val="clear"/>
        </w:rPr>
        <w:t>New Merlin</w:t>
      </w:r>
      <w:r>
        <w:rPr>
          <w:rFonts w:ascii="Times New Roman;Times;Serif" w:hAnsi="Times New Roman;Times;Serif"/>
          <w:b w:val="false"/>
          <w:i w:val="false"/>
          <w:caps w:val="false"/>
          <w:smallCaps w:val="false"/>
          <w:sz w:val="20"/>
          <w:shd w:fill="FFFFFF" w:val="clear"/>
        </w:rPr>
        <w:t>”, or the “</w:t>
      </w:r>
      <w:r>
        <w:rPr>
          <w:rFonts w:ascii="Times New Roman;Times;Serif" w:hAnsi="Times New Roman;Times;Serif"/>
          <w:b/>
          <w:i w:val="false"/>
          <w:caps w:val="false"/>
          <w:smallCaps w:val="false"/>
          <w:sz w:val="20"/>
          <w:shd w:fill="FFFFFF" w:val="clear"/>
        </w:rPr>
        <w:t>Company</w:t>
      </w:r>
      <w:r>
        <w:rPr>
          <w:rFonts w:ascii="Times New Roman;Times;Serif" w:hAnsi="Times New Roman;Times;Serif"/>
          <w:b w:val="false"/>
          <w:i w:val="false"/>
          <w:caps w:val="false"/>
          <w:smallCaps w:val="false"/>
          <w:sz w:val="20"/>
          <w:shd w:fill="FFFFFF" w:val="clear"/>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Overview of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March 12, 2026, Inflection Point held an extraordinary general meeting of shareholders of Inflection Point (the “</w:t>
      </w:r>
      <w:r>
        <w:rPr>
          <w:rFonts w:ascii="Times New Roman;Times;Serif" w:hAnsi="Times New Roman;Times;Serif"/>
          <w:b/>
          <w:i w:val="false"/>
          <w:caps w:val="false"/>
          <w:smallCaps w:val="false"/>
          <w:sz w:val="20"/>
          <w:shd w:fill="FFFFFF" w:val="clear"/>
        </w:rPr>
        <w:t>Extraordinary General Meeting</w:t>
      </w:r>
      <w:r>
        <w:rPr>
          <w:rFonts w:ascii="Times New Roman;Times;Serif" w:hAnsi="Times New Roman;Times;Serif"/>
          <w:b w:val="false"/>
          <w:i w:val="false"/>
          <w:caps w:val="false"/>
          <w:smallCaps w:val="false"/>
          <w:sz w:val="20"/>
          <w:shd w:fill="FFFFFF" w:val="clear"/>
        </w:rPr>
        <w:t>”) where the shareholders of Inflection Point considered and approved, among other matters, a proposal described in the Proxy Statement/Prospectus to approve the entry into the Business Combination Agreement and consummate the Transactions contemplated thereby.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March 13, 2026, as contemplated by the Business Combination Agreement and described in the section titled “</w:t>
      </w:r>
      <w:r>
        <w:rPr>
          <w:rFonts w:ascii="Times New Roman;Times;Serif" w:hAnsi="Times New Roman;Times;Serif"/>
          <w:b w:val="false"/>
          <w:i/>
          <w:caps w:val="false"/>
          <w:smallCaps w:val="false"/>
          <w:sz w:val="20"/>
          <w:shd w:fill="FFFFFF" w:val="clear"/>
        </w:rPr>
        <w:t>Proposal No. 2—The Domestication Proposal”</w:t>
      </w:r>
      <w:r>
        <w:rPr>
          <w:rFonts w:ascii="Times New Roman;Times;Serif" w:hAnsi="Times New Roman;Times;Serif"/>
          <w:b w:val="false"/>
          <w:i w:val="false"/>
          <w:caps w:val="false"/>
          <w:smallCaps w:val="false"/>
          <w:sz w:val="20"/>
          <w:shd w:fill="FFFFFF" w:val="clear"/>
        </w:rPr>
        <w:t xml:space="preserve"> of the Proxy Statement/Prospectus, Inflection Point filed a notice of deregistration with the Cayman Islands Registrar of Companies, together with the necessary accompanying documents, and filed a certificate of incorporation (the “</w:t>
      </w:r>
      <w:r>
        <w:rPr>
          <w:rFonts w:ascii="Times New Roman;Times;Serif" w:hAnsi="Times New Roman;Times;Serif"/>
          <w:b/>
          <w:i w:val="false"/>
          <w:caps w:val="false"/>
          <w:smallCaps w:val="false"/>
          <w:sz w:val="20"/>
          <w:shd w:fill="FFFFFF" w:val="clear"/>
        </w:rPr>
        <w:t>Certificate of Incorporation</w:t>
      </w:r>
      <w:r>
        <w:rPr>
          <w:rFonts w:ascii="Times New Roman;Times;Serif" w:hAnsi="Times New Roman;Times;Serif"/>
          <w:b w:val="false"/>
          <w:i w:val="false"/>
          <w:caps w:val="false"/>
          <w:smallCaps w:val="false"/>
          <w:sz w:val="20"/>
          <w:shd w:fill="FFFFFF" w:val="clear"/>
        </w:rPr>
        <w:t>”) and a certificate of corporate domestication with the Secretary of State of the State of Delaware, pursuant to which Inflection Point was domesticated and continues as a Delaware corporation, changing its name to “Merlin, Inc.” (the “</w:t>
      </w:r>
      <w:r>
        <w:rPr>
          <w:rFonts w:ascii="Times New Roman;Times;Serif" w:hAnsi="Times New Roman;Times;Serif"/>
          <w:b/>
          <w:i w:val="false"/>
          <w:caps w:val="false"/>
          <w:smallCaps w:val="false"/>
          <w:sz w:val="20"/>
          <w:shd w:fill="FFFFFF" w:val="clear"/>
        </w:rPr>
        <w:t>Domestication</w:t>
      </w:r>
      <w:r>
        <w:rPr>
          <w:rFonts w:ascii="Times New Roman;Times;Serif" w:hAnsi="Times New Roman;Times;Serif"/>
          <w:b w:val="false"/>
          <w:i w:val="false"/>
          <w:caps w:val="false"/>
          <w:smallCaps w:val="false"/>
          <w:sz w:val="20"/>
          <w:shd w:fill="FFFFFF" w:val="clear"/>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Domestication, pursuant to that certain Sponsor Support Agreement, dated as of August 13, 2025 (the “</w:t>
      </w:r>
      <w:r>
        <w:rPr>
          <w:rFonts w:ascii="Times New Roman;Times;Serif" w:hAnsi="Times New Roman;Times;Serif"/>
          <w:b/>
          <w:i w:val="false"/>
          <w:caps w:val="false"/>
          <w:smallCaps w:val="false"/>
          <w:sz w:val="20"/>
        </w:rPr>
        <w:t>Sponsor Support Agreement</w:t>
      </w:r>
      <w:r>
        <w:rPr>
          <w:rFonts w:ascii="Times New Roman;Times;Serif" w:hAnsi="Times New Roman;Times;Serif"/>
          <w:b w:val="false"/>
          <w:i w:val="false"/>
          <w:caps w:val="false"/>
          <w:smallCaps w:val="false"/>
          <w:sz w:val="20"/>
        </w:rPr>
        <w:t>”), by and among Inflection Point, Legacy Merlin, Bleichroeder Sponsor 1 LLC, a Delaware limited liability company (the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and Inflection Point Fund I, LP, a Delaware limited partnership (“</w:t>
      </w:r>
      <w:r>
        <w:rPr>
          <w:rFonts w:ascii="Times New Roman;Times;Serif" w:hAnsi="Times New Roman;Times;Serif"/>
          <w:b/>
          <w:i w:val="false"/>
          <w:caps w:val="false"/>
          <w:smallCaps w:val="false"/>
          <w:sz w:val="20"/>
        </w:rPr>
        <w:t>Inflection Point Fund</w:t>
      </w:r>
      <w:r>
        <w:rPr>
          <w:rFonts w:ascii="Times New Roman;Times;Serif" w:hAnsi="Times New Roman;Times;Serif"/>
          <w:b w:val="false"/>
          <w:i w:val="false"/>
          <w:caps w:val="false"/>
          <w:smallCaps w:val="false"/>
          <w:sz w:val="20"/>
        </w:rPr>
        <w:t>”), the holders of the Class B ordinary shares of Inflection Point, par value $0.0001 per share (each, a “</w:t>
      </w:r>
      <w:r>
        <w:rPr>
          <w:rFonts w:ascii="Times New Roman;Times;Serif" w:hAnsi="Times New Roman;Times;Serif"/>
          <w:b/>
          <w:i w:val="false"/>
          <w:caps w:val="false"/>
          <w:smallCaps w:val="false"/>
          <w:sz w:val="20"/>
        </w:rPr>
        <w:t>Founder Share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Inflection Point Class B Share</w:t>
      </w:r>
      <w:r>
        <w:rPr>
          <w:rFonts w:ascii="Times New Roman;Times;Serif" w:hAnsi="Times New Roman;Times;Serif"/>
          <w:b w:val="false"/>
          <w:i w:val="false"/>
          <w:caps w:val="false"/>
          <w:smallCaps w:val="false"/>
          <w:sz w:val="20"/>
        </w:rPr>
        <w:t>”, and the holders, the “</w:t>
      </w:r>
      <w:r>
        <w:rPr>
          <w:rFonts w:ascii="Times New Roman;Times;Serif" w:hAnsi="Times New Roman;Times;Serif"/>
          <w:b/>
          <w:i w:val="false"/>
          <w:caps w:val="false"/>
          <w:smallCaps w:val="false"/>
          <w:sz w:val="20"/>
        </w:rPr>
        <w:t>Inflection Point Class B Shareholders</w:t>
      </w:r>
      <w:r>
        <w:rPr>
          <w:rFonts w:ascii="Times New Roman;Times;Serif" w:hAnsi="Times New Roman;Times;Serif"/>
          <w:b w:val="false"/>
          <w:i w:val="false"/>
          <w:caps w:val="false"/>
          <w:smallCaps w:val="false"/>
          <w:sz w:val="20"/>
        </w:rPr>
        <w:t>”), elected to convert each Founder Share, on a one-for-one basis, into a Class A ordinary share of Inflection Point, par value $0.0001 per share (each, an “</w:t>
      </w:r>
      <w:r>
        <w:rPr>
          <w:rFonts w:ascii="Times New Roman;Times;Serif" w:hAnsi="Times New Roman;Times;Serif"/>
          <w:b/>
          <w:i w:val="false"/>
          <w:caps w:val="false"/>
          <w:smallCaps w:val="false"/>
          <w:sz w:val="20"/>
        </w:rPr>
        <w:t>Inflection Point Class A Share</w:t>
      </w:r>
      <w:r>
        <w:rPr>
          <w:rFonts w:ascii="Times New Roman;Times;Serif" w:hAnsi="Times New Roman;Times;Serif"/>
          <w:b w:val="false"/>
          <w:i w:val="false"/>
          <w:caps w:val="false"/>
          <w:smallCaps w:val="false"/>
          <w:sz w:val="20"/>
        </w:rPr>
        <w:t>” and together with the Founder Shares, the “</w:t>
      </w:r>
      <w:r>
        <w:rPr>
          <w:rFonts w:ascii="Times New Roman;Times;Serif" w:hAnsi="Times New Roman;Times;Serif"/>
          <w:b/>
          <w:i w:val="false"/>
          <w:caps w:val="false"/>
          <w:smallCaps w:val="false"/>
          <w:sz w:val="20"/>
        </w:rPr>
        <w:t>Inflection Point Ordinary Shares</w:t>
      </w:r>
      <w:r>
        <w:rPr>
          <w:rFonts w:ascii="Times New Roman;Times;Serif" w:hAnsi="Times New Roman;Times;Serif"/>
          <w:b w:val="false"/>
          <w:i w:val="false"/>
          <w:caps w:val="false"/>
          <w:smallCaps w:val="false"/>
          <w:sz w:val="20"/>
        </w:rPr>
        <w:t>”) (such conversion, the “</w:t>
      </w:r>
      <w:r>
        <w:rPr>
          <w:rFonts w:ascii="Times New Roman;Times;Serif" w:hAnsi="Times New Roman;Times;Serif"/>
          <w:b/>
          <w:i w:val="false"/>
          <w:caps w:val="false"/>
          <w:smallCaps w:val="false"/>
          <w:sz w:val="20"/>
        </w:rPr>
        <w:t>Sponsor Share Conversion</w:t>
      </w:r>
      <w:r>
        <w:rPr>
          <w:rFonts w:ascii="Times New Roman;Times;Serif" w:hAnsi="Times New Roman;Times;Serif"/>
          <w:b w:val="false"/>
          <w:i w:val="false"/>
          <w:caps w:val="false"/>
          <w:smallCaps w:val="false"/>
          <w:sz w:val="20"/>
        </w:rPr>
        <w:t>”). In connection with the Domestication, (i) each of the then issued and outstanding Inflection Point Class A Shares converted automatically, on a one-for-one basis, into a share of common stock, par value $0.0001 per share, of Post-Domestication Inflection Point (the “</w:t>
      </w:r>
      <w:r>
        <w:rPr>
          <w:rFonts w:ascii="Times New Roman;Times;Serif" w:hAnsi="Times New Roman;Times;Serif"/>
          <w:b/>
          <w:i w:val="false"/>
          <w:caps w:val="false"/>
          <w:smallCaps w:val="false"/>
          <w:sz w:val="20"/>
        </w:rPr>
        <w:t>New Merlin Common Stock</w:t>
      </w:r>
      <w:r>
        <w:rPr>
          <w:rFonts w:ascii="Times New Roman;Times;Serif" w:hAnsi="Times New Roman;Times;Serif"/>
          <w:b w:val="false"/>
          <w:i w:val="false"/>
          <w:caps w:val="false"/>
          <w:smallCaps w:val="false"/>
          <w:sz w:val="20"/>
        </w:rPr>
        <w:t>”); (ii) each of the then issued and outstanding rights to receive one-tenth (1/10) of one Inflection Point Class A Share upon consummation of an initial business combination of Inflection Point (“</w:t>
      </w:r>
      <w:r>
        <w:rPr>
          <w:rFonts w:ascii="Times New Roman;Times;Serif" w:hAnsi="Times New Roman;Times;Serif"/>
          <w:b/>
          <w:i w:val="false"/>
          <w:caps w:val="false"/>
          <w:smallCaps w:val="false"/>
          <w:sz w:val="20"/>
        </w:rPr>
        <w:t>Inflection Point Rights</w:t>
      </w:r>
      <w:r>
        <w:rPr>
          <w:rFonts w:ascii="Times New Roman;Times;Serif" w:hAnsi="Times New Roman;Times;Serif"/>
          <w:b w:val="false"/>
          <w:i w:val="false"/>
          <w:caps w:val="false"/>
          <w:smallCaps w:val="false"/>
          <w:sz w:val="20"/>
        </w:rPr>
        <w:t>”) converted automatically into a right of Post-Domestication Inflection Point (each right, a “</w:t>
      </w:r>
      <w:r>
        <w:rPr>
          <w:rFonts w:ascii="Times New Roman;Times;Serif" w:hAnsi="Times New Roman;Times;Serif"/>
          <w:b/>
          <w:i w:val="false"/>
          <w:caps w:val="false"/>
          <w:smallCaps w:val="false"/>
          <w:sz w:val="20"/>
        </w:rPr>
        <w:t>Post-Domestication Right</w:t>
      </w:r>
      <w:r>
        <w:rPr>
          <w:rFonts w:ascii="Times New Roman;Times;Serif" w:hAnsi="Times New Roman;Times;Serif"/>
          <w:b w:val="false"/>
          <w:i w:val="false"/>
          <w:caps w:val="false"/>
          <w:smallCaps w:val="false"/>
          <w:sz w:val="20"/>
        </w:rPr>
        <w:t>”); and (iii) each of the then issued and outstanding units of Inflection Point containing one Inflection Point Class A Share and one Inflection Point Right (the “</w:t>
      </w:r>
      <w:r>
        <w:rPr>
          <w:rFonts w:ascii="Times New Roman;Times;Serif" w:hAnsi="Times New Roman;Times;Serif"/>
          <w:b/>
          <w:i w:val="false"/>
          <w:caps w:val="false"/>
          <w:smallCaps w:val="false"/>
          <w:sz w:val="20"/>
        </w:rPr>
        <w:t>Inflection Point Units</w:t>
      </w:r>
      <w:r>
        <w:rPr>
          <w:rFonts w:ascii="Times New Roman;Times;Serif" w:hAnsi="Times New Roman;Times;Serif"/>
          <w:b w:val="false"/>
          <w:i w:val="false"/>
          <w:caps w:val="false"/>
          <w:smallCaps w:val="false"/>
          <w:sz w:val="20"/>
        </w:rPr>
        <w:t>”) converted automatically into a unit of Post-Domestication Inflection Point, consisting of one share of New Merlin Common Stock and one Post-Domestication 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satisfaction or waiver of the conditions of the Business Combination Agreement, immediately prior to the Effective Time of the Merger:</w:t>
      </w:r>
    </w:p>
    <w:p>
      <w:pPr>
        <w:pStyle w:val="TextBody"/>
        <w:bidi w:val="0"/>
        <w:spacing w:before="0" w:after="0"/>
        <w:ind w:left="885" w:right="0" w:hanging="3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283"/>
              <w:jc w:val="both"/>
              <w:rPr/>
            </w:pPr>
            <w:r>
              <w:rPr/>
              <w:t>each convertible security of Legacy Merlin (other than the Pre-Funded Convertible Notes (as defined below)) that was outstanding immediately prior to the Effective Time, to the extent applicable, automatically converted in full into shares of preferred stock or common stock of Legacy Merlin (“</w:t>
            </w:r>
            <w:r>
              <w:rPr>
                <w:b/>
              </w:rPr>
              <w:t>Merlin Common Stock</w:t>
            </w:r>
            <w:r>
              <w:rPr/>
              <w:t>”), in accordance with the terms thereof;</w:t>
            </w:r>
          </w:p>
        </w:tc>
      </w:tr>
    </w:tbl>
    <w:p>
      <w:pPr>
        <w:pStyle w:val="TextBody"/>
        <w:bidi w:val="0"/>
        <w:spacing w:before="0" w:after="0"/>
        <w:ind w:left="885" w:right="0" w:hanging="3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283"/>
              <w:jc w:val="both"/>
              <w:rPr/>
            </w:pPr>
            <w:r>
              <w:rPr/>
              <w:t>each warrant of Legacy Merlin exercisable for the preferred stock of Legacy Merlin that was outstanding and unexercised immediately prior to the Effective Time was automatically exercised on a cashless basis in full in accordance with its terms or otherwise exercised in full;</w:t>
            </w:r>
          </w:p>
        </w:tc>
      </w:tr>
    </w:tbl>
    <w:p>
      <w:pPr>
        <w:pStyle w:val="TextBody"/>
        <w:bidi w:val="0"/>
        <w:spacing w:before="0" w:after="0"/>
        <w:ind w:left="885" w:right="0" w:hanging="3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283"/>
              <w:jc w:val="both"/>
              <w:rPr/>
            </w:pPr>
            <w:r>
              <w:rPr/>
              <w:t>immediately after giving effect to the conversions and exercises set forth in clauses (1) and (2) above, each issued and outstanding share of preferred stock of Legacy Merlin (including each share of preferred stock issued upon the conversions and exercises described in clauses (1) and (2) above) automatically converted into shares of Merlin Common Stock into which such shares of preferred stock of Legacy Merlin, as applicable, are convertible in connection with the Merger pursuant to the organizational documents of Legacy Merlin; and</w:t>
            </w:r>
          </w:p>
        </w:tc>
      </w:tr>
    </w:tbl>
    <w:p>
      <w:pPr>
        <w:pStyle w:val="TextBody"/>
        <w:bidi w:val="0"/>
        <w:spacing w:before="0" w:after="0"/>
        <w:ind w:left="885" w:right="0" w:hanging="3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(4)</w:t>
            </w:r>
          </w:p>
        </w:tc>
        <w:tc>
          <w:tcPr>
            <w:tcW w:w="9930" w:type="dxa"/>
            <w:tcBorders/>
            <w:vAlign w:val="center"/>
          </w:tcPr>
          <w:p>
            <w:pPr>
              <w:pStyle w:val="TableContents"/>
              <w:bidi w:val="0"/>
              <w:spacing w:before="0" w:after="283"/>
              <w:jc w:val="both"/>
              <w:rPr/>
            </w:pPr>
            <w:r>
              <w:rPr/>
              <w:t>each warrant of Legacy Merlin (other than the Pre-Funded Warrants (as defined below)) exercisable for Merlin Common Stock that was outstanding and unexercised immediately prior to the Effective Time was automatically exercised on a cashless basis in full in accordance with its terms or otherwise exercised in full.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the aggregate consideration (the “</w:t>
      </w:r>
      <w:r>
        <w:rPr>
          <w:rFonts w:ascii="Times New Roman;Times;Serif" w:hAnsi="Times New Roman;Times;Serif"/>
          <w:b/>
          <w:i w:val="false"/>
          <w:caps w:val="false"/>
          <w:smallCaps w:val="false"/>
          <w:sz w:val="20"/>
        </w:rPr>
        <w:t>Aggregate Consideration</w:t>
      </w:r>
      <w:r>
        <w:rPr>
          <w:rFonts w:ascii="Times New Roman;Times;Serif" w:hAnsi="Times New Roman;Times;Serif"/>
          <w:b w:val="false"/>
          <w:i w:val="false"/>
          <w:caps w:val="false"/>
          <w:smallCaps w:val="false"/>
          <w:sz w:val="20"/>
        </w:rPr>
        <w:t>”) paid to the holders of securities of Legacy Merlin (the “</w:t>
      </w:r>
      <w:r>
        <w:rPr>
          <w:rFonts w:ascii="Times New Roman;Times;Serif" w:hAnsi="Times New Roman;Times;Serif"/>
          <w:b/>
          <w:i w:val="false"/>
          <w:caps w:val="false"/>
          <w:smallCaps w:val="false"/>
          <w:sz w:val="20"/>
        </w:rPr>
        <w:t>Merlin Equity Holders</w:t>
      </w:r>
      <w:r>
        <w:rPr>
          <w:rFonts w:ascii="Times New Roman;Times;Serif" w:hAnsi="Times New Roman;Times;Serif"/>
          <w:b w:val="false"/>
          <w:i w:val="false"/>
          <w:caps w:val="false"/>
          <w:smallCaps w:val="false"/>
          <w:sz w:val="20"/>
        </w:rPr>
        <w:t>”) (other than the holders of the Pre-Funded Convertible Notes and the Pre-Funded Warrants in respect of those securities) in, or in connection with, the Merger was 75,764,313 shares of New Merlin Common Stock. The Aggregate Consideration was calculated as the number of shares of New Merlin Common Stock equal to the quotient of: (a) $800,000,000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divided by (b) the redemption price of $10.55906094.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contemplated by the Business Combination Agreement, on July 2, 2025, and on August 13, 2025, Legacy Merlin entered into certain convertible note purchase agreements (the “</w:t>
      </w:r>
      <w:r>
        <w:rPr>
          <w:rFonts w:ascii="Times New Roman;Times;Serif" w:hAnsi="Times New Roman;Times;Serif"/>
          <w:b/>
          <w:i w:val="false"/>
          <w:caps w:val="false"/>
          <w:smallCaps w:val="false"/>
          <w:sz w:val="20"/>
        </w:rPr>
        <w:t>Pre-Funded NPAs</w:t>
      </w:r>
      <w:r>
        <w:rPr>
          <w:rFonts w:ascii="Times New Roman;Times;Serif" w:hAnsi="Times New Roman;Times;Serif"/>
          <w:b w:val="false"/>
          <w:i w:val="false"/>
          <w:caps w:val="false"/>
          <w:smallCaps w:val="false"/>
          <w:sz w:val="20"/>
        </w:rPr>
        <w:t>”) and securities purchase agreement (the “</w:t>
      </w:r>
      <w:r>
        <w:rPr>
          <w:rFonts w:ascii="Times New Roman;Times;Serif" w:hAnsi="Times New Roman;Times;Serif"/>
          <w:b/>
          <w:i w:val="false"/>
          <w:caps w:val="false"/>
          <w:smallCaps w:val="false"/>
          <w:sz w:val="20"/>
        </w:rPr>
        <w:t>Signing Pre-Funded SPA</w:t>
      </w:r>
      <w:r>
        <w:rPr>
          <w:rFonts w:ascii="Times New Roman;Times;Serif" w:hAnsi="Times New Roman;Times;Serif"/>
          <w:b w:val="false"/>
          <w:i w:val="false"/>
          <w:caps w:val="false"/>
          <w:smallCaps w:val="false"/>
          <w:sz w:val="20"/>
        </w:rPr>
        <w:t>” and together with the Pre-Funded NPAs, the “</w:t>
      </w:r>
      <w:r>
        <w:rPr>
          <w:rFonts w:ascii="Times New Roman;Times;Serif" w:hAnsi="Times New Roman;Times;Serif"/>
          <w:b/>
          <w:i w:val="false"/>
          <w:caps w:val="false"/>
          <w:smallCaps w:val="false"/>
          <w:sz w:val="20"/>
        </w:rPr>
        <w:t>Signing Pre-Funded PIPE Agreements</w:t>
      </w:r>
      <w:r>
        <w:rPr>
          <w:rFonts w:ascii="Times New Roman;Times;Serif" w:hAnsi="Times New Roman;Times;Serif"/>
          <w:b w:val="false"/>
          <w:i w:val="false"/>
          <w:caps w:val="false"/>
          <w:smallCaps w:val="false"/>
          <w:sz w:val="20"/>
        </w:rPr>
        <w:t>”), respectively, with certain accredited investors named therein (collectively, the “</w:t>
      </w:r>
      <w:r>
        <w:rPr>
          <w:rFonts w:ascii="Times New Roman;Times;Serif" w:hAnsi="Times New Roman;Times;Serif"/>
          <w:b/>
          <w:i w:val="false"/>
          <w:caps w:val="false"/>
          <w:smallCaps w:val="false"/>
          <w:sz w:val="20"/>
        </w:rPr>
        <w:t>Pre-Funded Investors</w:t>
      </w:r>
      <w:r>
        <w:rPr>
          <w:rFonts w:ascii="Times New Roman;Times;Serif" w:hAnsi="Times New Roman;Times;Serif"/>
          <w:b w:val="false"/>
          <w:i w:val="false"/>
          <w:caps w:val="false"/>
          <w:smallCaps w:val="false"/>
          <w:sz w:val="20"/>
        </w:rPr>
        <w:t>”). Pursuant to the Signing Pre-Funded PIPE Agreements, the Pre-Funded Investors agreed, among other things, to purchase, and Legacy Merlin issued and sold, an aggregate of approximately $78 million of convertible promissory notes (the “</w:t>
      </w:r>
      <w:r>
        <w:rPr>
          <w:rFonts w:ascii="Times New Roman;Times;Serif" w:hAnsi="Times New Roman;Times;Serif"/>
          <w:b/>
          <w:i w:val="false"/>
          <w:caps w:val="false"/>
          <w:smallCaps w:val="false"/>
          <w:sz w:val="20"/>
        </w:rPr>
        <w:t>Pre-Funded Convertible Notes</w:t>
      </w:r>
      <w:r>
        <w:rPr>
          <w:rFonts w:ascii="Times New Roman;Times;Serif" w:hAnsi="Times New Roman;Times;Serif"/>
          <w:b w:val="false"/>
          <w:i w:val="false"/>
          <w:caps w:val="false"/>
          <w:smallCaps w:val="false"/>
          <w:sz w:val="20"/>
        </w:rPr>
        <w:t>”) and warrants to purchase a number of shares of Merlin Common Stock at a purchase price of $12.00 per share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substantially concurrently with the execution and delivery of the Business Combination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2025, Legacy Merlin and one of the Pre-Funded Investors entered into an additional securities purchase agreement (“</w:t>
      </w:r>
      <w:r>
        <w:rPr>
          <w:rFonts w:ascii="Times New Roman;Times;Serif" w:hAnsi="Times New Roman;Times;Serif"/>
          <w:b/>
          <w:i w:val="false"/>
          <w:caps w:val="false"/>
          <w:smallCaps w:val="false"/>
          <w:sz w:val="20"/>
        </w:rPr>
        <w:t>Post-Signing Pre-Funded SPA</w:t>
      </w:r>
      <w:r>
        <w:rPr>
          <w:rFonts w:ascii="Times New Roman;Times;Serif" w:hAnsi="Times New Roman;Times;Serif"/>
          <w:b w:val="false"/>
          <w:i w:val="false"/>
          <w:caps w:val="false"/>
          <w:smallCaps w:val="false"/>
          <w:sz w:val="20"/>
        </w:rPr>
        <w:t>,” collectively with the Signing Pre-Funded SPAs, the “</w:t>
      </w:r>
      <w:r>
        <w:rPr>
          <w:rFonts w:ascii="Times New Roman;Times;Serif" w:hAnsi="Times New Roman;Times;Serif"/>
          <w:b/>
          <w:i w:val="false"/>
          <w:caps w:val="false"/>
          <w:smallCaps w:val="false"/>
          <w:sz w:val="20"/>
        </w:rPr>
        <w:t>Pre-Funded SPAs</w:t>
      </w:r>
      <w:r>
        <w:rPr>
          <w:rFonts w:ascii="Times New Roman;Times;Serif" w:hAnsi="Times New Roman;Times;Serif"/>
          <w:b w:val="false"/>
          <w:i w:val="false"/>
          <w:caps w:val="false"/>
          <w:smallCaps w:val="false"/>
          <w:sz w:val="20"/>
        </w:rPr>
        <w:t>”), pursuant to which such Pre-Funded Investor purchased for approximately $9.3 million an additional Pre-Funded Convertible Note with a principal amount of approximately $10.9 million and a Pre-Funded Warrant, on the same terms and conditions as the Signing Pre-Funded SPA (such investments contemplated by the Signing Pre-Funded PIPE Agreements and the Post-Signing Pre-Funded SPA, the “</w:t>
      </w:r>
      <w:r>
        <w:rPr>
          <w:rFonts w:ascii="Times New Roman;Times;Serif" w:hAnsi="Times New Roman;Times;Serif"/>
          <w:b/>
          <w:i w:val="false"/>
          <w:caps w:val="false"/>
          <w:smallCaps w:val="false"/>
          <w:sz w:val="20"/>
        </w:rPr>
        <w:t>Pre-Funded Note Investment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paid in, or in connection with, the Merger to each holder of a Pre-Funded Convertible Note (the “</w:t>
      </w:r>
      <w:r>
        <w:rPr>
          <w:rFonts w:ascii="Times New Roman;Times;Serif" w:hAnsi="Times New Roman;Times;Serif"/>
          <w:b/>
          <w:i w:val="false"/>
          <w:caps w:val="false"/>
          <w:smallCaps w:val="false"/>
          <w:sz w:val="20"/>
        </w:rPr>
        <w:t>Convertible Note Consideration</w:t>
      </w:r>
      <w:r>
        <w:rPr>
          <w:rFonts w:ascii="Times New Roman;Times;Serif" w:hAnsi="Times New Roman;Times;Serif"/>
          <w:b w:val="false"/>
          <w:i w:val="false"/>
          <w:caps w:val="false"/>
          <w:smallCaps w:val="false"/>
          <w:sz w:val="20"/>
        </w:rPr>
        <w:t>”) was 10,244,861 shares of New Merlin’s 12.0% Series A Cumulative Convertible Preferred Stock, par value $0.0001 per share (“</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The Convertible Note Consideration was calculated as the number of shares equal to the quotient, rounded up to the nearest whole share, of (i) the total outstanding principal and accrued and unpaid interest on each Pre-Funded Convertible Note as of one day prior to the Closing, divided by (ii) $10.20 (with respect to the Pre-Funded Convertible Notes sold pursuant to the Pre-Funded NPAs), as may be adjusted pursuant to the terms and conditions of such Pre-Funded Convertible Notes, or $12.00 (with respect to the Pre-Funded Convertible Notes sold pursuant to the Pre-Funded SPAs).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satisfaction or waiver of the conditions of the Business Combination Agreement, at the Effective Time of the Merger:</w:t>
      </w:r>
    </w:p>
    <w:p>
      <w:pPr>
        <w:pStyle w:val="TextBody"/>
        <w:bidi w:val="0"/>
        <w:spacing w:before="0" w:after="0"/>
        <w:ind w:left="885" w:right="0" w:hanging="3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both"/>
              <w:rPr/>
            </w:pPr>
            <w:r>
              <w:rPr/>
              <w:t>each share of Merlin Common Stock that was owned by Inflection Point, Merger Sub, or Legacy Merlin immediately prior to the Effective Time (each, an “</w:t>
            </w:r>
            <w:r>
              <w:rPr>
                <w:b/>
              </w:rPr>
              <w:t>Excluded Share</w:t>
            </w:r>
            <w:r>
              <w:rPr/>
              <w:t>”) was canceled and ceased to exist and no consideration was delivered in exchange therefor;</w:t>
            </w:r>
          </w:p>
        </w:tc>
      </w:tr>
    </w:tbl>
    <w:p>
      <w:pPr>
        <w:pStyle w:val="TextBody"/>
        <w:bidi w:val="0"/>
        <w:spacing w:before="0" w:after="0"/>
        <w:ind w:left="885" w:right="0" w:hanging="3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283"/>
              <w:jc w:val="both"/>
              <w:rPr/>
            </w:pPr>
            <w:r>
              <w:rPr/>
              <w:t>each share of Merlin Common Stock that was issued and outstanding immediately prior to the Effective Time (other than Excluded Shares) was canceled and converted into the right to receive shares of New Merlin Common Stock equal to the Aggregate Consideration divided by 24,428,203 Merlin Common Stock, the fully diluted capital of Legacy Merlin, which is the sum (without duplication) of the aggregate number of shares of Merlin Common Stock that are (i) issued and outstanding immediately prior to the Effective Time (including those issued upon conversion of all issued and outstanding preferred stock of Legacy Merlin, as applicable, and excluding securities underlying the Pre-Funded Convertible Notes or Pre-Funded Warrants), (ii) issuable upon full exercise of all issued and outstanding options of Legacy Merlin, and (iii) issuable upon full settlement of all issued and outstanding Merlin RSUs (such conversion ratio, the “</w:t>
            </w:r>
            <w:r>
              <w:rPr>
                <w:b/>
              </w:rPr>
              <w:t>Exchange Ratio</w:t>
            </w:r>
            <w:r>
              <w:rPr/>
              <w:t>”);</w:t>
            </w:r>
          </w:p>
        </w:tc>
      </w:tr>
    </w:tbl>
    <w:p>
      <w:pPr>
        <w:pStyle w:val="TextBody"/>
        <w:bidi w:val="0"/>
        <w:spacing w:before="0" w:after="0"/>
        <w:ind w:left="885" w:right="0" w:hanging="3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283"/>
              <w:jc w:val="both"/>
              <w:rPr/>
            </w:pPr>
            <w:r>
              <w:rPr/>
              <w:t>each option to purchase equity securities of Legacy Merlin (“</w:t>
            </w:r>
            <w:r>
              <w:rPr>
                <w:b/>
              </w:rPr>
              <w:t>Merlin Option</w:t>
            </w:r>
            <w:r>
              <w:rPr/>
              <w:t>”) automatically ceased to represent an option to purchase Merlin Common Stock and was assumed and converted on the same terms and conditions as were applicable as of the Effective Time, into an option to acquire that number of shares of New Merlin Common Stock (rounded down to the nearest whole share) equal to the product of (A) 2,460,597 shares of Merlin Common Stock subject to such Merlin Options and (B) the Exchange Ratio, at an exercise price per share of Merlin Common Stock (rounded up to the nearest whole cent) equal to the quotient obtained by dividing (x) the exercise price per share of Merlin Common Stock of such Merlin Option by (y) the Exchange Ratio;</w:t>
            </w:r>
          </w:p>
        </w:tc>
      </w:tr>
    </w:tbl>
    <w:p>
      <w:pPr>
        <w:pStyle w:val="TextBody"/>
        <w:bidi w:val="0"/>
        <w:spacing w:before="0" w:after="0"/>
        <w:ind w:left="885" w:right="0" w:hanging="3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(4)</w:t>
            </w:r>
          </w:p>
        </w:tc>
        <w:tc>
          <w:tcPr>
            <w:tcW w:w="9917" w:type="dxa"/>
            <w:tcBorders/>
            <w:vAlign w:val="center"/>
          </w:tcPr>
          <w:p>
            <w:pPr>
              <w:pStyle w:val="TableContents"/>
              <w:bidi w:val="0"/>
              <w:spacing w:before="0" w:after="283"/>
              <w:jc w:val="both"/>
              <w:rPr/>
            </w:pPr>
            <w:r>
              <w:rPr/>
              <w:t>each Pre-Funded Convertible Note that was outstanding immediately prior to the Effective Time was automatically canceled and converted into the right to receive the Convertible Note Consideration;</w:t>
            </w:r>
          </w:p>
        </w:tc>
      </w:tr>
    </w:tbl>
    <w:p>
      <w:pPr>
        <w:pStyle w:val="TextBody"/>
        <w:bidi w:val="0"/>
        <w:spacing w:before="0" w:after="0"/>
        <w:ind w:left="885" w:right="0" w:hanging="3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(5)</w:t>
            </w:r>
          </w:p>
        </w:tc>
        <w:tc>
          <w:tcPr>
            <w:tcW w:w="9919" w:type="dxa"/>
            <w:tcBorders/>
            <w:vAlign w:val="center"/>
          </w:tcPr>
          <w:p>
            <w:pPr>
              <w:pStyle w:val="TableContents"/>
              <w:bidi w:val="0"/>
              <w:spacing w:before="0" w:after="283"/>
              <w:jc w:val="both"/>
              <w:rPr/>
            </w:pPr>
            <w:r>
              <w:rPr/>
              <w:t>each Pre-Funded Warrant that was outstanding and unexercised immediately prior to the Effective Time was automatically canceled and converted into the right to receive the Pre-Funded Warrant Consideration; and</w:t>
            </w:r>
          </w:p>
        </w:tc>
      </w:tr>
    </w:tbl>
    <w:p>
      <w:pPr>
        <w:pStyle w:val="TextBody"/>
        <w:bidi w:val="0"/>
        <w:spacing w:before="0" w:after="0"/>
        <w:ind w:left="885" w:right="0" w:hanging="3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(6)</w:t>
            </w:r>
          </w:p>
        </w:tc>
        <w:tc>
          <w:tcPr>
            <w:tcW w:w="9944" w:type="dxa"/>
            <w:tcBorders/>
            <w:vAlign w:val="center"/>
          </w:tcPr>
          <w:p>
            <w:pPr>
              <w:pStyle w:val="TableContents"/>
              <w:bidi w:val="0"/>
              <w:spacing w:before="0" w:after="283"/>
              <w:jc w:val="both"/>
              <w:rPr/>
            </w:pPr>
            <w:r>
              <w:rPr/>
              <w:t>(x) each then issued and outstanding Post-Domestication Right converted automatically into one-tenth of one share of New Merlin Common Stock, pursuant to that certain Rights Agreement, dated as of October 31, 2024, by and between Inflection Point and the right agent, with any fractional shares of New Merlin Common Stock issued in connection with such conversion rounded down to the nearest whole share; and (y) each then issued and outstanding Post-Domestication Unit was canceled and thereafter entitled the holder thereof to one and one-tenth (1.1) shares of New Merlin Common Stock, with any fractional shares of New Merlin Common Stock issued in connection with such separation rounded down to the nearest whole share.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Ratio is 3.1015099176506644. The Exchange Ratio was calculated by dividing the Aggregate Consideration by the fully diluted capital of Legacy Merlin, which is the sum (without duplication) of the aggregate number of shares of Merlin Common Stock that are (i) issued and outstanding immediately prior to the Effective Time (including those issued upon conversion of all issued and outstanding preferred stock of Legacy Merlin, as applicable, and excluding securities underlying the Pre-Funded Convertible Notes or Pre-Funded Warrants), (ii) issuable upon full exercise of all issued and outstanding Merlin Options, and (iii) issuable upon full settlement of all issued and outstanding Merlin RSUs.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 description of the Transactions and the terms of the Business Combination Agreement are included in the Proxy Statement/Prospectus in the section titled “</w:t>
      </w:r>
      <w:r>
        <w:rPr>
          <w:rFonts w:ascii="Times New Roman;Times;Serif" w:hAnsi="Times New Roman;Times;Serif"/>
          <w:b w:val="false"/>
          <w:i/>
          <w:caps w:val="false"/>
          <w:smallCaps w:val="false"/>
          <w:sz w:val="20"/>
          <w:shd w:fill="FFFFFF" w:val="clear"/>
        </w:rPr>
        <w:t>Proposal No. 1—The Business Combination Proposal.”</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The foregoing description of the Transactions </w:t>
      </w:r>
      <w:r>
        <w:rPr>
          <w:rFonts w:ascii="Times New Roman;Times;Serif" w:hAnsi="Times New Roman;Times;Serif"/>
          <w:b w:val="false"/>
          <w:i w:val="false"/>
          <w:caps w:val="false"/>
          <w:smallCaps w:val="false"/>
          <w:sz w:val="20"/>
          <w:shd w:fill="FFFFFF" w:val="clear"/>
        </w:rPr>
        <w:t xml:space="preserve">is a summary only, </w:t>
      </w:r>
      <w:r>
        <w:rPr>
          <w:rFonts w:ascii="Times New Roman;Times;Serif" w:hAnsi="Times New Roman;Times;Serif"/>
          <w:b w:val="false"/>
          <w:i w:val="false"/>
          <w:caps w:val="false"/>
          <w:smallCaps w:val="false"/>
          <w:sz w:val="20"/>
        </w:rPr>
        <w:t>does not purport to be complete, and is qualified in its entirety by the full text of the Business Combination Agreement, which is incorporated by reference to this Current Report as Exhibits 2.1 and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consummation of the Transactions, the Company entered into indemnification agreements with each of its newly elected directors and executive officers. Each indemnification agreement provides for indemnification and advancement by the Company of certain expenses and costs relating to claims, suits, or proceedings arising from service to the Company or, at its request, service to other entities, as officers or directors to the maximum extent permitted by applicable law. The foregoing description of the indemnification agreements does not purport to be complete and is qualified in its entirety by the terms and conditions of the indemnification agreements, a form of which is attached hereto as Exhibit 10.1 and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Lock-Up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in connection with the consummation of the Transactions and as contemplated by the Business Combination Agreement, the Company and the Sponsor entered into the Sponsor Lock-Up Agreement (the “</w:t>
      </w:r>
      <w:r>
        <w:rPr>
          <w:rFonts w:ascii="Times New Roman;Times;Serif" w:hAnsi="Times New Roman;Times;Serif"/>
          <w:b/>
          <w:i w:val="false"/>
          <w:caps w:val="false"/>
          <w:smallCaps w:val="false"/>
          <w:sz w:val="20"/>
        </w:rPr>
        <w:t>Sponsor Lock-Up Agreement</w:t>
      </w:r>
      <w:r>
        <w:rPr>
          <w:rFonts w:ascii="Times New Roman;Times;Serif" w:hAnsi="Times New Roman;Times;Serif"/>
          <w:b w:val="false"/>
          <w:i w:val="false"/>
          <w:caps w:val="false"/>
          <w:smallCaps w:val="false"/>
          <w:sz w:val="20"/>
        </w:rPr>
        <w:t>”), pursuant to which the Sponsor and its permitted assigns agreed, among other things, not to sell, pledge, grant any option to purchase or otherwise dispose of (i) the Sponsor Lock-Up Shares prior to the date that is six months after the Closing Date and (ii) the Sponsor Lock-Up Units prior to the date that is 90 days after the Closing Date. The material terms of the Sponsor Lock-Up Agreement are described in the section of the Proxy Statement/Prospectus titled “</w:t>
      </w:r>
      <w:r>
        <w:rPr>
          <w:rFonts w:ascii="Times New Roman;Times;Serif" w:hAnsi="Times New Roman;Times;Serif"/>
          <w:b w:val="false"/>
          <w:i/>
          <w:caps w:val="false"/>
          <w:smallCaps w:val="false"/>
          <w:sz w:val="20"/>
        </w:rPr>
        <w:t>Proposal No. 1—The Business Combination Proposal—Related Agreements—Sponsor Lock-Up Agreement</w:t>
      </w:r>
      <w:r>
        <w:rPr>
          <w:rFonts w:ascii="Times New Roman;Times;Serif" w:hAnsi="Times New Roman;Times;Serif"/>
          <w:b w:val="false"/>
          <w:i w:val="false"/>
          <w:caps w:val="false"/>
          <w:smallCaps w:val="false"/>
          <w:sz w:val="20"/>
        </w:rPr>
        <w:t>.” The foregoing description is qualified in its entirety by the text of the Sponsor Lock-Up Agreement, which is included as Exhibit 10.2 to this Current Report and is incorporated herein by reference.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Lock-Up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in connection with the consummation of the Transactions and as contemplated by the Business Combination Agreement the Company and certain equity holders of Legacy Merlin entered into the Merlin Lock-Up Agreement (the “</w:t>
      </w:r>
      <w:r>
        <w:rPr>
          <w:rFonts w:ascii="Times New Roman;Times;Serif" w:hAnsi="Times New Roman;Times;Serif"/>
          <w:b/>
          <w:i w:val="false"/>
          <w:caps w:val="false"/>
          <w:smallCaps w:val="false"/>
          <w:sz w:val="20"/>
        </w:rPr>
        <w:t>Merlin Lock-Up Agreement</w:t>
      </w:r>
      <w:r>
        <w:rPr>
          <w:rFonts w:ascii="Times New Roman;Times;Serif" w:hAnsi="Times New Roman;Times;Serif"/>
          <w:b w:val="false"/>
          <w:i w:val="false"/>
          <w:caps w:val="false"/>
          <w:smallCaps w:val="false"/>
          <w:sz w:val="20"/>
        </w:rPr>
        <w:t>”), pursuant to which the Merlin Lock-Up Holders agreed not to, among other things, sell, pledge, grant any option to purchase or otherwise dispose of the Lock-Up Shares, prior to the date that is six months after the Closing Date. The material terms of the Merlin Lock-Up Agreement are described in the section of the Proxy Statement/Prospectus titled “</w:t>
      </w:r>
      <w:r>
        <w:rPr>
          <w:rFonts w:ascii="Times New Roman;Times;Serif" w:hAnsi="Times New Roman;Times;Serif"/>
          <w:b w:val="false"/>
          <w:i/>
          <w:caps w:val="false"/>
          <w:smallCaps w:val="false"/>
          <w:sz w:val="20"/>
        </w:rPr>
        <w:t>Proposal No. 1—The Business Combination Proposal—Related Agreements— Merlin Lock-Up Agreement</w:t>
      </w:r>
      <w:r>
        <w:rPr>
          <w:rFonts w:ascii="Times New Roman;Times;Serif" w:hAnsi="Times New Roman;Times;Serif"/>
          <w:b w:val="false"/>
          <w:i w:val="false"/>
          <w:caps w:val="false"/>
          <w:smallCaps w:val="false"/>
          <w:sz w:val="20"/>
        </w:rPr>
        <w:t>.” The foregoing description is qualified in its entirety by the text of the Merlin Lock-Up Agreement, which is included as Exhibit 10.3 to this Current Report and is incorporated herein by reference.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Registration Rights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in connection with the consummation of the Transactions and as contemplated by the Business Combination Agreement, the Company, the Sponsor, certain persons and entities receiving shares of New Merlin Common Stock in connection with the Business Combination (the “</w:t>
      </w:r>
      <w:r>
        <w:rPr>
          <w:rFonts w:ascii="Times New Roman;Times;Serif" w:hAnsi="Times New Roman;Times;Serif"/>
          <w:b/>
          <w:i w:val="false"/>
          <w:caps w:val="false"/>
          <w:smallCaps w:val="false"/>
          <w:sz w:val="20"/>
        </w:rPr>
        <w:t>Merlin Stockholders</w:t>
      </w:r>
      <w:r>
        <w:rPr>
          <w:rFonts w:ascii="Times New Roman;Times;Serif" w:hAnsi="Times New Roman;Times;Serif"/>
          <w:b w:val="false"/>
          <w:i w:val="false"/>
          <w:caps w:val="false"/>
          <w:smallCaps w:val="false"/>
          <w:sz w:val="20"/>
        </w:rPr>
        <w:t>”), and other parties thereto entered into the Amended and Restated Registration Rights Agreement (the “</w:t>
      </w:r>
      <w:r>
        <w:rPr>
          <w:rFonts w:ascii="Times New Roman;Times;Serif" w:hAnsi="Times New Roman;Times;Serif"/>
          <w:b/>
          <w:i w:val="false"/>
          <w:caps w:val="false"/>
          <w:smallCaps w:val="false"/>
          <w:sz w:val="20"/>
        </w:rPr>
        <w:t>A&amp;R Registration Rights Agreement</w:t>
      </w:r>
      <w:r>
        <w:rPr>
          <w:rFonts w:ascii="Times New Roman;Times;Serif" w:hAnsi="Times New Roman;Times;Serif"/>
          <w:b w:val="false"/>
          <w:i w:val="false"/>
          <w:caps w:val="false"/>
          <w:smallCaps w:val="false"/>
          <w:sz w:val="20"/>
        </w:rPr>
        <w:t>”), pursuant to which, among other things, the Sponsor, the Merlin Stockholders and other parties thereto will be granted certain customary registration rights, on the terms and subject to the conditions therein, with respect to securities of the Company that they hold following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use its commercially reasonable efforts to (1) file with the SEC (at the Company’s sole cost and expense) a registration statement registering the resale of certain securities held by or issuable to the parties to the A&amp;R Registration Rights Agreement and (2) cause the registration statement to become effective as soon as reasonably practicable after the filing thereof. In certain circumstances, the parties thereto may demand underwritten offerings and will be entitled to customary piggyback registration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A&amp;R Registration Rights Agreement are described in the section of the Proxy Statement/Prospectus titled “</w:t>
      </w:r>
      <w:r>
        <w:rPr>
          <w:rFonts w:ascii="Times New Roman;Times;Serif" w:hAnsi="Times New Roman;Times;Serif"/>
          <w:b w:val="false"/>
          <w:i/>
          <w:caps w:val="false"/>
          <w:smallCaps w:val="false"/>
          <w:sz w:val="20"/>
        </w:rPr>
        <w:t>Proposal No. 1—The Business Combination Proposal—Related Agreements— Registration Rights Agreement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Certain Relationships and Related Person Transactions—Post-Business Combination Arrangements—Registration Rights Agreement</w:t>
      </w:r>
      <w:r>
        <w:rPr>
          <w:rFonts w:ascii="Times New Roman;Times;Serif" w:hAnsi="Times New Roman;Times;Serif"/>
          <w:b w:val="false"/>
          <w:i w:val="false"/>
          <w:caps w:val="false"/>
          <w:smallCaps w:val="false"/>
          <w:sz w:val="20"/>
        </w:rPr>
        <w:t>.” The foregoing description of the A&amp;R Registration Rights Agreement is qualified in its entirety by the full text of the A&amp;R Registration Rights Agreement, a copy of which is filed as Exhibit 10.4 to this Current Report and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Purchase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the securities purchase agreements (as amended and supplemented, the “</w:t>
      </w:r>
      <w:r>
        <w:rPr>
          <w:rFonts w:ascii="Times New Roman;Times;Serif" w:hAnsi="Times New Roman;Times;Serif"/>
          <w:b/>
          <w:i w:val="false"/>
          <w:caps w:val="false"/>
          <w:smallCaps w:val="false"/>
          <w:sz w:val="20"/>
          <w:shd w:fill="FFFFFF" w:val="clear"/>
        </w:rPr>
        <w:t>Securities Purchase Agreements</w:t>
      </w:r>
      <w:r>
        <w:rPr>
          <w:rFonts w:ascii="Times New Roman;Times;Serif" w:hAnsi="Times New Roman;Times;Serif"/>
          <w:b w:val="false"/>
          <w:i w:val="false"/>
          <w:caps w:val="false"/>
          <w:smallCaps w:val="false"/>
          <w:sz w:val="20"/>
          <w:shd w:fill="FFFFFF" w:val="clear"/>
        </w:rPr>
        <w:t>”) entered into on August 13, 2025 and as amended on November 17, 2025, by and among Inflection Point, Legacy Merlin and certain investors (collectively, the “</w:t>
      </w:r>
      <w:r>
        <w:rPr>
          <w:rFonts w:ascii="Times New Roman;Times;Serif" w:hAnsi="Times New Roman;Times;Serif"/>
          <w:b/>
          <w:i w:val="false"/>
          <w:caps w:val="false"/>
          <w:smallCaps w:val="false"/>
          <w:sz w:val="20"/>
          <w:shd w:fill="FFFFFF" w:val="clear"/>
        </w:rPr>
        <w:t>PIPE Investors</w:t>
      </w:r>
      <w:r>
        <w:rPr>
          <w:rFonts w:ascii="Times New Roman;Times;Serif" w:hAnsi="Times New Roman;Times;Serif"/>
          <w:b w:val="false"/>
          <w:i w:val="false"/>
          <w:caps w:val="false"/>
          <w:smallCaps w:val="false"/>
          <w:sz w:val="20"/>
          <w:shd w:fill="FFFFFF" w:val="clear"/>
        </w:rPr>
        <w:t>”), Inflection Point issued and sold to the PIPE Investors (substantially concurrently with the consummation of the Transactions) an aggregate of (i) 9,803,922 shares of the Series A Preferred Stock and (ii) New Merlin Series A Warrants to purchase shares of Common Stock, for a total purchase price of $100.0 million (the “</w:t>
      </w:r>
      <w:r>
        <w:rPr>
          <w:rFonts w:ascii="Times New Roman;Times;Serif" w:hAnsi="Times New Roman;Times;Serif"/>
          <w:b/>
          <w:i w:val="false"/>
          <w:caps w:val="false"/>
          <w:smallCaps w:val="false"/>
          <w:sz w:val="20"/>
          <w:shd w:fill="FFFFFF" w:val="clear"/>
        </w:rPr>
        <w:t>Initial PIPE Investment</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Additionally, pursuant to the Securities Purchase Agreements, the Additional Closing PIPE Investors agreed to purchase an aggregate of 1,666,668 shares of Series A Preferred Stock and Upsized New Merlin Series A Warrants to purchase a number of shares of New Merlin Common Stock equal to 75% of the number of New Merlin Common Stock into which such shares of Series A Preferred Stock are initially convertible, for a total purchase price of $20 million (together with the Initial PIPE Investment, the “</w:t>
      </w:r>
      <w:r>
        <w:rPr>
          <w:rFonts w:ascii="Times New Roman;Times;Serif" w:hAnsi="Times New Roman;Times;Serif"/>
          <w:b/>
          <w:i w:val="false"/>
          <w:caps w:val="false"/>
          <w:smallCaps w:val="false"/>
          <w:sz w:val="20"/>
          <w:shd w:fill="FFFFFF" w:val="clear"/>
        </w:rPr>
        <w:t>PIPE Investment</w:t>
      </w:r>
      <w:r>
        <w:rPr>
          <w:rFonts w:ascii="Times New Roman;Times;Serif" w:hAnsi="Times New Roman;Times;Serif"/>
          <w:b w:val="false"/>
          <w:i w:val="false"/>
          <w:caps w:val="false"/>
          <w:smallCaps w:val="false"/>
          <w:sz w:val="20"/>
          <w:shd w:fill="FFFFFF" w:val="clear"/>
        </w:rPr>
        <w:t>”). The material terms of the Securities Purchase Agreements are described in the Proxy Statement/Prospectus in the section titled “</w:t>
      </w:r>
      <w:r>
        <w:rPr>
          <w:rFonts w:ascii="Times New Roman;Times;Serif" w:hAnsi="Times New Roman;Times;Serif"/>
          <w:b w:val="false"/>
          <w:i/>
          <w:caps w:val="false"/>
          <w:smallCaps w:val="false"/>
          <w:sz w:val="20"/>
          <w:shd w:fill="FFFFFF" w:val="clear"/>
        </w:rPr>
        <w:t>Proposal No. 1—The Business Combination Proposal—Related Agreements—Series A SPA</w:t>
      </w:r>
      <w:r>
        <w:rPr>
          <w:rFonts w:ascii="Times New Roman;Times;Serif" w:hAnsi="Times New Roman;Times;Serif"/>
          <w:b w:val="false"/>
          <w:i w:val="false"/>
          <w:caps w:val="false"/>
          <w:smallCaps w:val="false"/>
          <w:sz w:val="20"/>
          <w:shd w:fill="FFFFFF" w:val="clear"/>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foregoing description of the Securities Purchase Agreements is a summary only,</w:t>
      </w:r>
      <w:r>
        <w:rPr>
          <w:rFonts w:ascii="Times New Roman;Times;Serif" w:hAnsi="Times New Roman;Times;Serif"/>
          <w:b w:val="false"/>
          <w:i w:val="false"/>
          <w:caps w:val="false"/>
          <w:smallCaps w:val="false"/>
          <w:sz w:val="20"/>
        </w:rPr>
        <w:t xml:space="preserve"> does not purport to be complete, </w:t>
      </w:r>
      <w:r>
        <w:rPr>
          <w:rFonts w:ascii="Times New Roman;Times;Serif" w:hAnsi="Times New Roman;Times;Serif"/>
          <w:b w:val="false"/>
          <w:i w:val="false"/>
          <w:caps w:val="false"/>
          <w:smallCaps w:val="false"/>
          <w:sz w:val="20"/>
          <w:shd w:fill="FFFFFF" w:val="clear"/>
        </w:rPr>
        <w:t xml:space="preserve">and is qualified in its entirety by the full text of the forms of Securities Purchase Agreements, </w:t>
      </w:r>
      <w:r>
        <w:rPr>
          <w:rFonts w:ascii="Times New Roman;Times;Serif" w:hAnsi="Times New Roman;Times;Serif"/>
          <w:b w:val="false"/>
          <w:i w:val="false"/>
          <w:caps w:val="false"/>
          <w:smallCaps w:val="false"/>
          <w:sz w:val="20"/>
        </w:rPr>
        <w:t xml:space="preserve">which are incorporated by reference to this Current Report as </w:t>
      </w:r>
      <w:r>
        <w:rPr>
          <w:rFonts w:ascii="Times New Roman;Times;Serif" w:hAnsi="Times New Roman;Times;Serif"/>
          <w:b w:val="false"/>
          <w:i w:val="false"/>
          <w:caps w:val="false"/>
          <w:smallCaps w:val="false"/>
          <w:sz w:val="20"/>
          <w:shd w:fill="FFFFFF" w:val="clear"/>
        </w:rPr>
        <w:t xml:space="preserve">Exhibits </w:t>
      </w:r>
      <w:r>
        <w:rPr>
          <w:rFonts w:ascii="Times New Roman;Times;Serif" w:hAnsi="Times New Roman;Times;Serif"/>
          <w:b w:val="false"/>
          <w:i w:val="false"/>
          <w:caps w:val="false"/>
          <w:smallCaps w:val="false"/>
          <w:sz w:val="20"/>
        </w:rPr>
        <w:t xml:space="preserve">10.15, 10.16, and </w:t>
      </w:r>
      <w:r>
        <w:rPr>
          <w:rFonts w:ascii="Times New Roman;Times;Serif" w:hAnsi="Times New Roman;Times;Serif"/>
          <w:b w:val="false"/>
          <w:i w:val="false"/>
          <w:caps w:val="false"/>
          <w:smallCaps w:val="false"/>
          <w:sz w:val="20"/>
          <w:shd w:fill="FFFFFF" w:val="clear"/>
        </w:rPr>
        <w:t>10.17.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Incentive Plan and Stock Purchase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5.02 of this Current Report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under “</w:t>
      </w:r>
      <w:r>
        <w:rPr>
          <w:rFonts w:ascii="Times New Roman;Times;Serif" w:hAnsi="Times New Roman;Times;Serif"/>
          <w:b w:val="false"/>
          <w:i/>
          <w:caps w:val="false"/>
          <w:smallCaps w:val="false"/>
          <w:sz w:val="20"/>
        </w:rPr>
        <w:t>Introductory Note—Domestication and Transactions</w:t>
      </w:r>
      <w:r>
        <w:rPr>
          <w:rFonts w:ascii="Times New Roman;Times;Serif" w:hAnsi="Times New Roman;Times;Serif"/>
          <w:b w:val="false"/>
          <w:i w:val="false"/>
          <w:caps w:val="false"/>
          <w:smallCaps w:val="false"/>
          <w:sz w:val="20"/>
        </w:rPr>
        <w:t>” above is incorporated into this Item 2.01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 INFORMATION</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Item 2.01(f) of Form 8-K provides that if the predecessor registrant was a “shell company” (as such term is defined in Rule 12b-2 under the Securities Exchange Act of 1934, as amended (the “</w:t>
      </w:r>
      <w:r>
        <w:rPr>
          <w:rFonts w:ascii="Times New Roman;Times;Serif" w:hAnsi="Times New Roman;Times;Serif"/>
          <w:b/>
          <w:i w:val="false"/>
          <w:caps w:val="false"/>
          <w:smallCaps w:val="false"/>
          <w:sz w:val="20"/>
          <w:shd w:fill="FFFFFF" w:val="clear"/>
        </w:rPr>
        <w:t>Exchange Act</w:t>
      </w:r>
      <w:r>
        <w:rPr>
          <w:rFonts w:ascii="Times New Roman;Times;Serif" w:hAnsi="Times New Roman;Times;Serif"/>
          <w:b w:val="false"/>
          <w:i w:val="false"/>
          <w:caps w:val="false"/>
          <w:smallCaps w:val="false"/>
          <w:sz w:val="20"/>
          <w:shd w:fill="FFFFFF" w:val="clear"/>
        </w:rPr>
        <w:t>”)), as Inflection Point was immediately before the Transactions, then the registrant must disclose the information that would be required if the registrant were filing a general form for registration of securities on Form 10. As a result of the consummation of the Transactions, and as discussed below in Item 5.06 of this Current Report, the Company has ceased to be a shell company. Accordingly, the Company is providing the information below that would be included in a Form 10 if it were to file a Form 10. Please note that the information provided below relates to the combined company after the consummation of the Transactions, unless otherwise specifically indicated or the context otherwise requires.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Note Regarding Forward-Looking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and the documents incorporated herein by reference contain “forward-looking statements” within the meaning of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Exchange Act. These forward-looking statements include, without limitation, statements relating to expectations for future financial performance, business strategies or expectations of our businesses. These statements are based on the beliefs and assumptions of the Company’s management. The Company believes that its plans, intentions and expectations reflected in or suggested by these forward-looking statements are reasonable, the Company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Current Report,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Current Report and in any document incorporated by reference in the Proxy Statement/Prospectus may include, for example, statements about Legacy Merlin prior to the consummation of the Transactions and the Company following the consummation of the Transactions, including:</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sz w:val="20"/>
              </w:rPr>
            </w:pPr>
            <w:r>
              <w:rPr>
                <w:sz w:val="20"/>
              </w:rPr>
              <w:t>the ability of the Company to realize the benefits expected from the Transactions;</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170"/>
        <w:gridCol w:w="9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sz w:val="20"/>
              </w:rPr>
            </w:pPr>
            <w:r>
              <w:rPr>
                <w:sz w:val="20"/>
              </w:rPr>
              <w:t>the ability to maintain the listing of the New Merlin Common Stock on The Nasdaq Stock Market LLC (“</w:t>
            </w:r>
            <w:r>
              <w:rPr>
                <w:b/>
                <w:sz w:val="20"/>
              </w:rPr>
              <w:t>Nasdaq</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sz w:val="20"/>
              </w:rPr>
            </w:pPr>
            <w:r>
              <w:rPr>
                <w:sz w:val="20"/>
              </w:rPr>
              <w:t>the ability to raise financing in the future and to comply with restrictive covenants related to long-term indebtedness;</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170"/>
        <w:gridCol w:w="70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sz w:val="20"/>
              </w:rPr>
            </w:pPr>
            <w:r>
              <w:rPr>
                <w:sz w:val="20"/>
              </w:rPr>
              <w:t>the future financial performance of the Company following the Business Combination;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Company’s ability to retain or recruit, or to effect changes required in, its officers, key employees or directors following the Business Combination;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changes in the market for the Company’s products and services and the Company’s ability to effectively compete in the aviation technology industry following the Business Combination;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Company’s ability to comply with laws and regulations applicable to its business;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expectations regarding the time during which the Company will be an “emerging growth company” under the Jumpstart Our Business Startups Act of 2012, as amended;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other risks and uncertainties set forth in the Proxy Statement/Prospectus in the section titled “</w:t>
            </w:r>
            <w:r>
              <w:rPr>
                <w:i/>
                <w:sz w:val="20"/>
              </w:rPr>
              <w:t>Risk Factors</w:t>
            </w:r>
            <w:r>
              <w:rPr/>
              <w:t xml:space="preserve">” </w:t>
            </w:r>
            <w:r>
              <w:rPr>
                <w:sz w:val="20"/>
              </w:rPr>
              <w:t>beginning on page 35 of the Proxy Statement/Prospectus, which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 date of this Current Report and the Company’s management teams’ current expectations, forecasts and assumptions, and involve a number of judgments, known and unknown risks and uncertainties and other factors, many of which are outside the control of the Company and their respective directors, officers and affiliates. Accordingly, forward-looking statements should not be relied upon as representing the views of the Company’s management as of any subsequent date. The Company does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and properties of Inflection Point and Legacy Merlin prior to the Business Combination are described in the Proxy Statement/Prospectus in the sections titled “</w:t>
      </w:r>
      <w:r>
        <w:rPr>
          <w:rFonts w:ascii="Times New Roman;Times;Serif" w:hAnsi="Times New Roman;Times;Serif"/>
          <w:b w:val="false"/>
          <w:i/>
          <w:caps w:val="false"/>
          <w:smallCaps w:val="false"/>
          <w:sz w:val="20"/>
        </w:rPr>
        <w:t>Information About Inflection Point</w:t>
      </w:r>
      <w:r>
        <w:rPr>
          <w:rFonts w:ascii="Times New Roman;Times;Serif" w:hAnsi="Times New Roman;Times;Serif"/>
          <w:b w:val="false"/>
          <w:i w:val="false"/>
          <w:caps w:val="false"/>
          <w:smallCaps w:val="false"/>
          <w:sz w:val="20"/>
        </w:rPr>
        <w:t>” beginning on page 201 and “</w:t>
      </w:r>
      <w:r>
        <w:rPr>
          <w:rFonts w:ascii="Times New Roman;Times;Serif" w:hAnsi="Times New Roman;Times;Serif"/>
          <w:b w:val="false"/>
          <w:i/>
          <w:caps w:val="false"/>
          <w:smallCaps w:val="false"/>
          <w:sz w:val="20"/>
        </w:rPr>
        <w:t>Information About Merlin Labs</w:t>
      </w:r>
      <w:r>
        <w:rPr>
          <w:rFonts w:ascii="Times New Roman;Times;Serif" w:hAnsi="Times New Roman;Times;Serif"/>
          <w:b w:val="false"/>
          <w:i w:val="false"/>
          <w:caps w:val="false"/>
          <w:smallCaps w:val="false"/>
          <w:sz w:val="20"/>
        </w:rPr>
        <w:t>” beginning on page 236 of the Proxy Statement/Prospectus, which are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the Company’s business are described in the Proxy Statement/Prospectus in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35 of the Proxy Statement/Prospectus,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Legacy Merlin as of and for the years ended December 31, 2025 and 2024 and the related notes thereto are set forth in Item 9.01 of this Current Report and are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audited financial statements should be read in conjunction with the section entitled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included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 Pro Forma Condensed Combined 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of Legacy Merlin and Inflection Point as of and for the year ended December 31, 2025 and the related notes thereto are set forth in Item 9.01 of this Current Report and are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Discussion and Analysis of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contained in the Management’s Discussion and Analysis of Financial Condition and Results of Operations of the Legacy Merlin, which is set forth in Exhibit 99.2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contained in the Management’s Discussion and Analysis of Financial Condition and Results of Operations of Inflection Point, which is included in Inflection Point’s Annual Report on Form 10-K for the fiscal year ended December 31, 2025, filed with the SEC on March 12, 2026 (the “</w:t>
      </w:r>
      <w:r>
        <w:rPr>
          <w:rFonts w:ascii="Times New Roman;Times;Serif" w:hAnsi="Times New Roman;Times;Serif"/>
          <w:b/>
          <w:i w:val="false"/>
          <w:caps w:val="false"/>
          <w:smallCaps w:val="false"/>
          <w:sz w:val="20"/>
        </w:rPr>
        <w:t>Inflection Point Annual Report</w:t>
      </w:r>
      <w:r>
        <w:rPr>
          <w:rFonts w:ascii="Times New Roman;Times;Serif" w:hAnsi="Times New Roman;Times;Serif"/>
          <w:b w:val="false"/>
          <w:i w:val="false"/>
          <w:caps w:val="false"/>
          <w:smallCaps w:val="false"/>
          <w:sz w:val="20"/>
        </w:rPr>
        <w:t>”) beginning on page 56 and is incorporated herein by reference.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Quantitative and Qualitative Disclosures about Market Risk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contained in the Management’s Discussion and Analysis of Financial Condition and Results of Operations of the Legacy Merlin which is set forth in Exhibit 99.2 hereto and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contained in the Management’s Discussion and Analysis of Financial Condition and Results of Operations of Inflection Point, which is included in Inflection Point Annual Report beginning on page 56 and is incorporated herein by reference.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contained in the Proxy Statement/Prospectus in the section titled “</w:t>
      </w:r>
      <w:r>
        <w:rPr>
          <w:rFonts w:ascii="Times New Roman;Times;Serif" w:hAnsi="Times New Roman;Times;Serif"/>
          <w:b w:val="false"/>
          <w:i/>
          <w:caps w:val="false"/>
          <w:smallCaps w:val="false"/>
          <w:sz w:val="20"/>
        </w:rPr>
        <w:t>Information About Merlin Labs</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Ownership of Certain Beneficial Owners and Management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beneficial ownership of New Merlin Common Stock following the consummation of the Transactions by: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each person who is known to be the beneficial owner of more than 5% of the outstanding shares of the New Merlin Common Stock;</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sz w:val="20"/>
              </w:rPr>
            </w:pPr>
            <w:r>
              <w:rPr>
                <w:sz w:val="20"/>
              </w:rPr>
              <w:t>each of the Company’s current named executive officers and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sz w:val="20"/>
              </w:rPr>
            </w:pPr>
            <w:r>
              <w:rPr>
                <w:sz w:val="20"/>
              </w:rPr>
              <w:t>all current executive officers and directors of the Company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is based on an aggregate of 84,262,886 shares of New Merlin Common Stock and 21,715,451 shares of Series A Preferred Stock issued and outstanding as of the consummation of the Transactions. Beneficial ownership is determined according to the rules of the SEC, which generally provide that a person has beneficial ownership of a security if he, she, or it possesses sole or shared voting or investment power over that security, including Warrants that are currently exercisable or exercisable within 60 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Company believes that all persons named in the table below have sole voting and investment power with respect to the voting securities beneficially owned by them.</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60"/>
        <w:gridCol w:w="60"/>
        <w:gridCol w:w="117"/>
        <w:gridCol w:w="2182"/>
        <w:gridCol w:w="60"/>
        <w:gridCol w:w="60"/>
        <w:gridCol w:w="60"/>
        <w:gridCol w:w="440"/>
        <w:gridCol w:w="215"/>
        <w:gridCol w:w="60"/>
        <w:gridCol w:w="60"/>
        <w:gridCol w:w="980"/>
        <w:gridCol w:w="60"/>
        <w:gridCol w:w="60"/>
        <w:gridCol w:w="60"/>
        <w:gridCol w:w="440"/>
        <w:gridCol w:w="231"/>
      </w:tblGrid>
      <w:tr>
        <w:trPr/>
        <w:tc>
          <w:tcPr>
            <w:tcW w:w="5060" w:type="dxa"/>
            <w:tcBorders>
              <w:bottom w:val="single" w:sz="12" w:space="0" w:color="000000"/>
            </w:tcBorders>
            <w:vAlign w:val="center"/>
          </w:tcPr>
          <w:p>
            <w:pPr>
              <w:pStyle w:val="TableContents"/>
              <w:bidi w:val="0"/>
              <w:spacing w:before="0" w:after="283"/>
              <w:jc w:val="left"/>
              <w:rPr>
                <w:b/>
                <w:sz w:val="20"/>
              </w:rPr>
            </w:pPr>
            <w:r>
              <w:rPr>
                <w:b/>
                <w:sz w:val="20"/>
              </w:rPr>
              <w:t>Name and Address of Beneficial Owner</w:t>
            </w:r>
            <w:r>
              <w:rPr>
                <w:b/>
                <w:position w:val="7"/>
                <w:sz w:val="16"/>
                <w:sz w:val="20"/>
              </w:rPr>
              <w:t>(1)</w:t>
            </w:r>
            <w:r>
              <w:rPr>
                <w:b/>
                <w:sz w:val="20"/>
              </w:rPr>
              <w:t xml:space="preserve">  </w:t>
            </w:r>
          </w:p>
        </w:tc>
        <w:tc>
          <w:tcPr>
            <w:tcW w:w="60" w:type="dxa"/>
            <w:tcBorders/>
            <w:tcMar>
              <w:bottom w:w="0" w:type="dxa"/>
            </w:tcMar>
            <w:vAlign w:val="center"/>
          </w:tcPr>
          <w:p>
            <w:pPr>
              <w:pStyle w:val="TableContents"/>
              <w:bidi w:val="0"/>
              <w:spacing w:before="0" w:after="283"/>
              <w:jc w:val="left"/>
              <w:rPr/>
            </w:pPr>
            <w:r>
              <w:rPr/>
              <w:t> </w:t>
            </w:r>
          </w:p>
        </w:tc>
        <w:tc>
          <w:tcPr>
            <w:tcW w:w="2299" w:type="dxa"/>
            <w:gridSpan w:val="2"/>
            <w:tcBorders>
              <w:bottom w:val="single" w:sz="12" w:space="0" w:color="000000"/>
            </w:tcBorders>
            <w:vAlign w:val="center"/>
          </w:tcPr>
          <w:p>
            <w:pPr>
              <w:pStyle w:val="TableContents"/>
              <w:bidi w:val="0"/>
              <w:spacing w:before="0" w:after="283"/>
              <w:jc w:val="center"/>
              <w:rPr>
                <w:b/>
              </w:rPr>
            </w:pPr>
            <w:r>
              <w:rPr>
                <w:b/>
              </w:rPr>
              <w:t>Number of</w:t>
              <w:br/>
              <w:t>Shares of</w:t>
              <w:br/>
              <w:t>Common</w:t>
              <w:br/>
              <w:t>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Cumulative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w:t>
            </w:r>
          </w:p>
        </w:tc>
        <w:tc>
          <w:tcPr>
            <w:tcW w:w="231" w:type="dxa"/>
            <w:tcBorders/>
            <w:tcMar>
              <w:bottom w:w="0" w:type="dxa"/>
            </w:tcMar>
            <w:vAlign w:val="center"/>
          </w:tcPr>
          <w:p>
            <w:pPr>
              <w:pStyle w:val="TableContents"/>
              <w:bidi w:val="0"/>
              <w:spacing w:before="0" w:after="283"/>
              <w:jc w:val="left"/>
              <w:rPr/>
            </w:pPr>
            <w:r>
              <w:rPr/>
              <w:t> </w:t>
            </w:r>
          </w:p>
        </w:tc>
      </w:tr>
      <w:tr>
        <w:trPr/>
        <w:tc>
          <w:tcPr>
            <w:tcW w:w="5060" w:type="dxa"/>
            <w:tcBorders/>
            <w:tcMar>
              <w:bottom w:w="0" w:type="dxa"/>
            </w:tcMar>
            <w:vAlign w:val="center"/>
          </w:tcPr>
          <w:p>
            <w:pPr>
              <w:pStyle w:val="TableContents"/>
              <w:bidi w:val="0"/>
              <w:spacing w:before="0" w:after="283"/>
              <w:jc w:val="left"/>
              <w:rPr>
                <w:b/>
              </w:rPr>
            </w:pPr>
            <w:r>
              <w:rPr>
                <w:b/>
              </w:rPr>
              <w:t>5% Holders</w:t>
            </w:r>
          </w:p>
        </w:tc>
        <w:tc>
          <w:tcPr>
            <w:tcW w:w="60" w:type="dxa"/>
            <w:tcBorders/>
            <w:tcMar>
              <w:bottom w:w="0" w:type="dxa"/>
            </w:tcMar>
            <w:vAlign w:val="center"/>
          </w:tcPr>
          <w:p>
            <w:pPr>
              <w:pStyle w:val="TableContents"/>
              <w:bidi w:val="0"/>
              <w:spacing w:before="0" w:after="283"/>
              <w:jc w:val="left"/>
              <w:rPr/>
            </w:pPr>
            <w:r>
              <w:rPr/>
              <w:t> </w:t>
            </w:r>
          </w:p>
        </w:tc>
        <w:tc>
          <w:tcPr>
            <w:tcW w:w="229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31" w:type="dxa"/>
            <w:tcBorders/>
            <w:tcMar>
              <w:bottom w:w="0" w:type="dxa"/>
            </w:tcMar>
            <w:vAlign w:val="center"/>
          </w:tcPr>
          <w:p>
            <w:pPr>
              <w:pStyle w:val="TableContents"/>
              <w:bidi w:val="0"/>
              <w:spacing w:before="0" w:after="283"/>
              <w:ind w:left="0" w:right="0" w:hanging="180"/>
              <w:jc w:val="left"/>
              <w:rPr/>
            </w:pPr>
            <w:r>
              <w:rPr/>
              <w:t> </w:t>
            </w:r>
          </w:p>
        </w:tc>
      </w:tr>
      <w:tr>
        <w:trPr/>
        <w:tc>
          <w:tcPr>
            <w:tcW w:w="5060" w:type="dxa"/>
            <w:tcBorders/>
            <w:shd w:fill="CCEEFF" w:val="clear"/>
            <w:tcMar>
              <w:bottom w:w="0" w:type="dxa"/>
            </w:tcMar>
            <w:vAlign w:val="center"/>
          </w:tcPr>
          <w:p>
            <w:pPr>
              <w:pStyle w:val="TableContents"/>
              <w:bidi w:val="0"/>
              <w:spacing w:before="0" w:after="283"/>
              <w:jc w:val="left"/>
              <w:rPr/>
            </w:pPr>
            <w:r>
              <w:rPr>
                <w:sz w:val="20"/>
              </w:rPr>
              <w:t>Bleichroeder Sponsor 1 LLC (the “</w:t>
            </w:r>
            <w:r>
              <w:rPr>
                <w:b/>
                <w:sz w:val="20"/>
              </w:rPr>
              <w:t>Sponsor</w:t>
            </w:r>
            <w:r>
              <w:rPr>
                <w:sz w:val="20"/>
              </w:rPr>
              <w:t>”)</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right"/>
              <w:rPr/>
            </w:pPr>
            <w:r>
              <w:rPr/>
              <w:t>8,800,833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10.4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60" w:type="dxa"/>
            <w:tcBorders/>
            <w:shd w:fill="FFFFFF" w:val="clear"/>
            <w:tcMar>
              <w:bottom w:w="0" w:type="dxa"/>
            </w:tcMar>
            <w:vAlign w:val="center"/>
          </w:tcPr>
          <w:p>
            <w:pPr>
              <w:pStyle w:val="TableContents"/>
              <w:bidi w:val="0"/>
              <w:spacing w:before="0" w:after="283"/>
              <w:jc w:val="left"/>
              <w:rPr/>
            </w:pPr>
            <w:r>
              <w:rPr>
                <w:sz w:val="20"/>
              </w:rPr>
              <w:t>Alyeska Master Fund, L.P.</w:t>
            </w:r>
            <w:r>
              <w:rPr>
                <w:position w:val="8"/>
                <w:sz w:val="19"/>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right"/>
              <w:rPr/>
            </w:pPr>
            <w:r>
              <w:rPr/>
              <w:t>10,853,922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9.99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9,803,922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45.2</w:t>
            </w:r>
          </w:p>
        </w:tc>
        <w:tc>
          <w:tcPr>
            <w:tcW w:w="231"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060" w:type="dxa"/>
            <w:tcBorders/>
            <w:shd w:fill="CCEEFF" w:val="clear"/>
            <w:tcMar>
              <w:bottom w:w="0" w:type="dxa"/>
            </w:tcMar>
            <w:vAlign w:val="center"/>
          </w:tcPr>
          <w:p>
            <w:pPr>
              <w:pStyle w:val="TableContents"/>
              <w:bidi w:val="0"/>
              <w:spacing w:before="0" w:after="283"/>
              <w:jc w:val="left"/>
              <w:rPr/>
            </w:pPr>
            <w:r>
              <w:rPr>
                <w:sz w:val="20"/>
              </w:rPr>
              <w:t>First Round Capital</w:t>
            </w: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right"/>
              <w:rPr/>
            </w:pPr>
            <w:r>
              <w:rPr/>
              <w:t>11,748,961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13.9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272,210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1.3</w:t>
            </w:r>
          </w:p>
        </w:tc>
        <w:tc>
          <w:tcPr>
            <w:tcW w:w="231"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060" w:type="dxa"/>
            <w:tcBorders/>
            <w:shd w:fill="FFFFFF" w:val="clear"/>
            <w:tcMar>
              <w:bottom w:w="0" w:type="dxa"/>
            </w:tcMar>
            <w:vAlign w:val="center"/>
          </w:tcPr>
          <w:p>
            <w:pPr>
              <w:pStyle w:val="TableContents"/>
              <w:bidi w:val="0"/>
              <w:spacing w:before="0" w:after="283"/>
              <w:jc w:val="left"/>
              <w:rPr/>
            </w:pPr>
            <w:r>
              <w:rPr>
                <w:sz w:val="20"/>
              </w:rPr>
              <w:t>Quiet Venture</w:t>
            </w:r>
            <w:r>
              <w:rPr>
                <w:position w:val="8"/>
                <w:sz w:val="19"/>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right"/>
              <w:rPr/>
            </w:pPr>
            <w:r>
              <w:rPr/>
              <w:t>11,947,548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14.2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464,534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2.1</w:t>
            </w:r>
          </w:p>
        </w:tc>
        <w:tc>
          <w:tcPr>
            <w:tcW w:w="231"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060" w:type="dxa"/>
            <w:tcBorders/>
            <w:shd w:fill="CCEEFF" w:val="clear"/>
            <w:tcMar>
              <w:bottom w:w="0" w:type="dxa"/>
            </w:tcMar>
            <w:vAlign w:val="center"/>
          </w:tcPr>
          <w:p>
            <w:pPr>
              <w:pStyle w:val="TableContents"/>
              <w:bidi w:val="0"/>
              <w:spacing w:before="0" w:after="283"/>
              <w:jc w:val="left"/>
              <w:rPr/>
            </w:pPr>
            <w:r>
              <w:rPr>
                <w:sz w:val="20"/>
              </w:rPr>
              <w:t>Bling Capital</w:t>
            </w:r>
            <w:r>
              <w:rPr>
                <w:position w:val="8"/>
                <w:sz w:val="19"/>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right"/>
              <w:rPr/>
            </w:pPr>
            <w:r>
              <w:rPr/>
              <w:t>6,853,516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8.1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216,629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1.0</w:t>
            </w:r>
          </w:p>
        </w:tc>
        <w:tc>
          <w:tcPr>
            <w:tcW w:w="231"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060" w:type="dxa"/>
            <w:tcBorders/>
            <w:shd w:fill="FFFFFF" w:val="clear"/>
            <w:tcMar>
              <w:bottom w:w="0" w:type="dxa"/>
            </w:tcMar>
            <w:vAlign w:val="center"/>
          </w:tcPr>
          <w:p>
            <w:pPr>
              <w:pStyle w:val="TableContents"/>
              <w:bidi w:val="0"/>
              <w:spacing w:before="0" w:after="283"/>
              <w:jc w:val="left"/>
              <w:rPr/>
            </w:pPr>
            <w:r>
              <w:rPr>
                <w:sz w:val="20"/>
              </w:rPr>
              <w:t>SnowPoint Ventures</w:t>
            </w:r>
            <w:r>
              <w:rPr>
                <w:position w:val="8"/>
                <w:sz w:val="19"/>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right"/>
              <w:rPr/>
            </w:pPr>
            <w:r>
              <w:rPr/>
              <w:t>6,637,530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7.9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795,474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3.7</w:t>
            </w:r>
          </w:p>
        </w:tc>
        <w:tc>
          <w:tcPr>
            <w:tcW w:w="231"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060" w:type="dxa"/>
            <w:tcBorders/>
            <w:shd w:fill="CCEEFF" w:val="clear"/>
            <w:tcMar>
              <w:bottom w:w="0" w:type="dxa"/>
            </w:tcMar>
            <w:vAlign w:val="center"/>
          </w:tcPr>
          <w:p>
            <w:pPr>
              <w:pStyle w:val="TableContents"/>
              <w:bidi w:val="0"/>
              <w:spacing w:before="0" w:after="283"/>
              <w:jc w:val="left"/>
              <w:rPr/>
            </w:pPr>
            <w:r>
              <w:rPr>
                <w:sz w:val="20"/>
              </w:rPr>
              <w:t>WTI</w:t>
            </w:r>
            <w:r>
              <w:rPr>
                <w:position w:val="8"/>
                <w:sz w:val="19"/>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right"/>
              <w:rPr/>
            </w:pPr>
            <w:r>
              <w:rPr/>
              <w:t>4,794,779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5.7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1,146,155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5.3</w:t>
            </w:r>
          </w:p>
        </w:tc>
        <w:tc>
          <w:tcPr>
            <w:tcW w:w="231"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060" w:type="dxa"/>
            <w:tcBorders/>
            <w:shd w:fill="FFFFFF" w:val="clear"/>
            <w:tcMar>
              <w:bottom w:w="0" w:type="dxa"/>
            </w:tcMar>
            <w:vAlign w:val="center"/>
          </w:tcPr>
          <w:p>
            <w:pPr>
              <w:pStyle w:val="TableContents"/>
              <w:bidi w:val="0"/>
              <w:spacing w:before="0" w:after="283"/>
              <w:jc w:val="left"/>
              <w:rPr/>
            </w:pPr>
            <w:r>
              <w:rPr>
                <w:sz w:val="20"/>
              </w:rPr>
              <w:t>Floodgate Fund VI, L.P.</w:t>
            </w:r>
            <w:r>
              <w:rPr>
                <w:position w:val="8"/>
                <w:sz w:val="19"/>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right"/>
              <w:rPr/>
            </w:pPr>
            <w:r>
              <w:rPr/>
              <w:t>5,008,273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5.9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160,997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sz w:val="20"/>
              </w:rPr>
            </w:pPr>
            <w:r>
              <w:rPr>
                <w:sz w:val="20"/>
              </w:rPr>
              <w:t>*</w:t>
            </w:r>
          </w:p>
        </w:tc>
        <w:tc>
          <w:tcPr>
            <w:tcW w:w="23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60" w:type="dxa"/>
            <w:tcBorders/>
            <w:shd w:fill="CCEEFF" w:val="clear"/>
            <w:tcMar>
              <w:bottom w:w="0" w:type="dxa"/>
            </w:tcMar>
            <w:vAlign w:val="center"/>
          </w:tcPr>
          <w:p>
            <w:pPr>
              <w:pStyle w:val="TableContents"/>
              <w:bidi w:val="0"/>
              <w:spacing w:before="0" w:after="283"/>
              <w:jc w:val="left"/>
              <w:rPr>
                <w:b/>
              </w:rPr>
            </w:pPr>
            <w:r>
              <w:rPr>
                <w:b/>
              </w:rPr>
              <w:t>Directors and Executive Officers of the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60" w:type="dxa"/>
            <w:tcBorders/>
            <w:shd w:fill="FFFFFF" w:val="clear"/>
            <w:tcMar>
              <w:bottom w:w="0" w:type="dxa"/>
            </w:tcMar>
            <w:vAlign w:val="center"/>
          </w:tcPr>
          <w:p>
            <w:pPr>
              <w:pStyle w:val="TableContents"/>
              <w:bidi w:val="0"/>
              <w:spacing w:before="0" w:after="283"/>
              <w:jc w:val="left"/>
              <w:rPr/>
            </w:pPr>
            <w:r>
              <w:rPr>
                <w:sz w:val="20"/>
              </w:rPr>
              <w:t>Matt George</w:t>
            </w:r>
            <w:r>
              <w:rPr>
                <w:position w:val="8"/>
                <w:sz w:val="19"/>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right"/>
              <w:rPr/>
            </w:pPr>
            <w:r>
              <w:rPr/>
              <w:t>16,403,107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19.5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3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60" w:type="dxa"/>
            <w:tcBorders/>
            <w:shd w:fill="CCEEFF" w:val="clear"/>
            <w:tcMar>
              <w:bottom w:w="0" w:type="dxa"/>
            </w:tcMar>
            <w:vAlign w:val="center"/>
          </w:tcPr>
          <w:p>
            <w:pPr>
              <w:pStyle w:val="TableContents"/>
              <w:bidi w:val="0"/>
              <w:spacing w:before="0" w:after="283"/>
              <w:jc w:val="left"/>
              <w:rPr/>
            </w:pPr>
            <w:r>
              <w:rPr/>
              <w:t>Ryan Carrithers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60" w:type="dxa"/>
            <w:tcBorders/>
            <w:shd w:fill="FFFFFF" w:val="clear"/>
            <w:tcMar>
              <w:bottom w:w="0" w:type="dxa"/>
            </w:tcMar>
            <w:vAlign w:val="center"/>
          </w:tcPr>
          <w:p>
            <w:pPr>
              <w:pStyle w:val="TableContents"/>
              <w:bidi w:val="0"/>
              <w:spacing w:before="0" w:after="283"/>
              <w:jc w:val="left"/>
              <w:rPr/>
            </w:pPr>
            <w:r>
              <w:rPr/>
              <w:t>Leslie Ravestein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3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60" w:type="dxa"/>
            <w:tcBorders/>
            <w:shd w:fill="CCEEFF" w:val="clear"/>
            <w:tcMar>
              <w:bottom w:w="0" w:type="dxa"/>
            </w:tcMar>
            <w:vAlign w:val="center"/>
          </w:tcPr>
          <w:p>
            <w:pPr>
              <w:pStyle w:val="TableContents"/>
              <w:bidi w:val="0"/>
              <w:spacing w:before="0" w:after="283"/>
              <w:jc w:val="left"/>
              <w:rPr/>
            </w:pPr>
            <w:r>
              <w:rPr/>
              <w:t>Michael Blitzer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right"/>
              <w:rPr/>
            </w:pPr>
            <w:r>
              <w:rPr/>
              <w:t>3,293,192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3.9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1,572,603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7.2</w:t>
            </w:r>
          </w:p>
        </w:tc>
        <w:tc>
          <w:tcPr>
            <w:tcW w:w="231"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060" w:type="dxa"/>
            <w:tcBorders/>
            <w:shd w:fill="FFFFFF" w:val="clear"/>
            <w:tcMar>
              <w:bottom w:w="0" w:type="dxa"/>
            </w:tcMar>
            <w:vAlign w:val="center"/>
          </w:tcPr>
          <w:p>
            <w:pPr>
              <w:pStyle w:val="TableContents"/>
              <w:bidi w:val="0"/>
              <w:spacing w:before="0" w:after="283"/>
              <w:jc w:val="left"/>
              <w:rPr/>
            </w:pPr>
            <w:r>
              <w:rPr/>
              <w:t>Kenneth Braithwaite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3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60" w:type="dxa"/>
            <w:tcBorders/>
            <w:shd w:fill="CCEEFF" w:val="clear"/>
            <w:tcMar>
              <w:bottom w:w="0" w:type="dxa"/>
            </w:tcMar>
            <w:vAlign w:val="center"/>
          </w:tcPr>
          <w:p>
            <w:pPr>
              <w:pStyle w:val="TableContents"/>
              <w:bidi w:val="0"/>
              <w:spacing w:before="0" w:after="283"/>
              <w:jc w:val="left"/>
              <w:rPr/>
            </w:pPr>
            <w:r>
              <w:rPr/>
              <w:t>Kelyn Brannon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60" w:type="dxa"/>
            <w:tcBorders/>
            <w:shd w:fill="FFFFFF" w:val="clear"/>
            <w:tcMar>
              <w:bottom w:w="0" w:type="dxa"/>
            </w:tcMar>
            <w:vAlign w:val="center"/>
          </w:tcPr>
          <w:p>
            <w:pPr>
              <w:pStyle w:val="TableContents"/>
              <w:bidi w:val="0"/>
              <w:spacing w:before="0" w:after="283"/>
              <w:jc w:val="left"/>
              <w:rPr/>
            </w:pPr>
            <w:r>
              <w:rPr/>
              <w:t>Michael Montelongo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3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60" w:type="dxa"/>
            <w:tcBorders/>
            <w:shd w:fill="CCEEFF" w:val="clear"/>
            <w:tcMar>
              <w:bottom w:w="0" w:type="dxa"/>
            </w:tcMar>
            <w:vAlign w:val="center"/>
          </w:tcPr>
          <w:p>
            <w:pPr>
              <w:pStyle w:val="TableContents"/>
              <w:bidi w:val="0"/>
              <w:spacing w:before="0" w:after="283"/>
              <w:jc w:val="left"/>
              <w:rPr/>
            </w:pPr>
            <w:r>
              <w:rPr/>
              <w:t>Dr. Robert H. Smith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60" w:type="dxa"/>
            <w:tcBorders/>
            <w:shd w:fill="FFFFFF" w:val="clear"/>
            <w:tcMar>
              <w:bottom w:w="0" w:type="dxa"/>
            </w:tcMar>
            <w:vAlign w:val="center"/>
          </w:tcPr>
          <w:p>
            <w:pPr>
              <w:pStyle w:val="TableContents"/>
              <w:bidi w:val="0"/>
              <w:spacing w:before="0" w:after="283"/>
              <w:jc w:val="left"/>
              <w:rPr/>
            </w:pPr>
            <w:r>
              <w:rPr/>
              <w:t>Carolyn Trabuco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3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60" w:type="dxa"/>
            <w:tcBorders/>
            <w:shd w:fill="CCEEFF" w:val="clear"/>
            <w:tcMar>
              <w:bottom w:w="0" w:type="dxa"/>
            </w:tcMar>
            <w:vAlign w:val="center"/>
          </w:tcPr>
          <w:p>
            <w:pPr>
              <w:pStyle w:val="TableContents"/>
              <w:bidi w:val="0"/>
              <w:spacing w:before="0" w:after="283"/>
              <w:jc w:val="left"/>
              <w:rPr>
                <w:b/>
              </w:rPr>
            </w:pPr>
            <w:r>
              <w:rPr>
                <w:b/>
              </w:rPr>
              <w:t>All directors and executive officers as a group (9 individuals)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right"/>
              <w:rPr/>
            </w:pPr>
            <w:r>
              <w:rPr/>
              <w:t>19,696,299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23.4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1,572,603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7.2</w:t>
            </w:r>
          </w:p>
        </w:tc>
        <w:tc>
          <w:tcPr>
            <w:tcW w:w="23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283"/>
              <w:jc w:val="left"/>
              <w:rPr>
                <w:sz w:val="20"/>
              </w:rPr>
            </w:pPr>
            <w:r>
              <w:rPr>
                <w:sz w:val="20"/>
              </w:rPr>
              <w:t>*</w:t>
            </w:r>
          </w:p>
        </w:tc>
        <w:tc>
          <w:tcPr>
            <w:tcW w:w="1835" w:type="dxa"/>
            <w:tcBorders/>
            <w:vAlign w:val="center"/>
          </w:tcPr>
          <w:p>
            <w:pPr>
              <w:pStyle w:val="TableContents"/>
              <w:bidi w:val="0"/>
              <w:spacing w:before="0" w:after="283"/>
              <w:jc w:val="left"/>
              <w:rPr>
                <w:sz w:val="20"/>
              </w:rPr>
            </w:pPr>
            <w:r>
              <w:rPr>
                <w:sz w:val="20"/>
              </w:rPr>
              <w:t xml:space="preserve">Less than one percent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(1)</w:t>
            </w:r>
          </w:p>
        </w:tc>
        <w:tc>
          <w:tcPr>
            <w:tcW w:w="9899" w:type="dxa"/>
            <w:tcBorders/>
            <w:vAlign w:val="center"/>
          </w:tcPr>
          <w:p>
            <w:pPr>
              <w:pStyle w:val="TableContents"/>
              <w:bidi w:val="0"/>
              <w:spacing w:before="0" w:after="283"/>
              <w:jc w:val="both"/>
              <w:rPr/>
            </w:pPr>
            <w:r>
              <w:rPr/>
              <w:t>Unless otherwise noted, the business address of each of those listed in the table above is c/o Merlin, Inc. 129 South Street Boston, MA 02111.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283"/>
              <w:jc w:val="both"/>
              <w:rPr/>
            </w:pPr>
            <w:r>
              <w:rPr/>
              <w:t>The Sponsor is the record holder of such shares. Consists of (i) 8,333,333 shares of New Merlin Common Stock upon the conversion of 8,333,333 Founder Shares, which were initially purchased in a private placement that closed prior to the IPO for $0.004 per share and (ii) 467,500 shares of New Merlin Common Stock upon the exchange of 425,000 Private Placement Units, which were initially purchased in a private placement that closed concurrently with the IPO for $10.00 per unit. MC Advisory L.L.C-FZ, an entity formed in Dubai (of which Michel Combes is the manager), as well as Andrew Gundlach, are the managing members of the Sponsor and hold voting and investment discretion with respect to the shares held of record by the Sponsor. Mr. Combes and Mr. Gundlach disclaim any beneficial ownership of the securities held by the Sponsor other than to the extent of any pecuniary interest they may have therein, directly or indirectly. The business address of the Sponsor is c/o Inflection Point Acquisition Corp. IV, 1345 Avenue of the Americas, Fl 47, New York, NY 10105.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(3)</w:t>
            </w:r>
          </w:p>
        </w:tc>
        <w:tc>
          <w:tcPr>
            <w:tcW w:w="9934" w:type="dxa"/>
            <w:tcBorders/>
            <w:vAlign w:val="center"/>
          </w:tcPr>
          <w:p>
            <w:pPr>
              <w:pStyle w:val="TableContents"/>
              <w:bidi w:val="0"/>
              <w:spacing w:before="0" w:after="283"/>
              <w:jc w:val="both"/>
              <w:rPr/>
            </w:pPr>
            <w:r>
              <w:rPr/>
              <w:t>Consists of (i) 9,803,922 shares of New Merlin Common Stock issuable upon conversion of 9,803,922 shares of Series A Preferred Stock to be issued to Alyeska and (ii) 9,803,922 shares of New Merlin Common Stock issuable upon exercise of the New Merlin Series A Warrant to be issued to Alyeska, at the initial exercise price, convertible or exercisable (as applicable) within 60 days.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(4)</w:t>
            </w:r>
          </w:p>
        </w:tc>
        <w:tc>
          <w:tcPr>
            <w:tcW w:w="9947" w:type="dxa"/>
            <w:tcBorders/>
            <w:vAlign w:val="center"/>
          </w:tcPr>
          <w:p>
            <w:pPr>
              <w:pStyle w:val="TableContents"/>
              <w:bidi w:val="0"/>
              <w:spacing w:before="0" w:after="283"/>
              <w:jc w:val="both"/>
              <w:rPr/>
            </w:pPr>
            <w:r>
              <w:rPr/>
              <w:t>Alyeska has informed Inflection Point that it has opted for 9.99% beneficial ownership blockers, pursuant to which it may not convert Series A Preferred Stock or exercise the New Merlin Series A Warrant to the extent that after giving effect to such conversion or exercise, Alyeska (together with its affiliates, and any persons acting as a group together with it or any of its affiliates) would beneficially own in excess of 9.99% of the outstanding New Merlin Common Stock calculated in accordance with the rules of the SEC. Alyeska Investment Group, L.P., the investment manager of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Master Fund, L.P. is at c/o Maples Corporate Services Limited, P.O. Box 309, Ugland House, South Church Street George Town, Grand Cayman, KY1-1104, Cayman Islands. Alyeska Investment Group, L.P. is located at 77 W. Wacker, Suite 700, Chicago IL 60601.</w:t>
            </w:r>
          </w:p>
        </w:tc>
      </w:tr>
    </w:tbl>
    <w:p>
      <w:pPr>
        <w:pStyle w:val="TextBody"/>
        <w:bidi w:val="0"/>
        <w:spacing w:before="0" w:after="0"/>
        <w:ind w:left="0" w:right="0" w:hanging="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9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(5)</w:t>
            </w:r>
          </w:p>
        </w:tc>
        <w:tc>
          <w:tcPr>
            <w:tcW w:w="9695" w:type="dxa"/>
            <w:tcBorders/>
            <w:vAlign w:val="center"/>
          </w:tcPr>
          <w:p>
            <w:pPr>
              <w:pStyle w:val="TableContents"/>
              <w:bidi w:val="0"/>
              <w:spacing w:before="0" w:after="283"/>
              <w:jc w:val="both"/>
              <w:rPr/>
            </w:pPr>
            <w:r>
              <w:rPr/>
              <w:t>The business address of First Round Capital is 2400 Market Street, Suite 237, Philadelphia PA 19103.</w:t>
            </w:r>
          </w:p>
        </w:tc>
      </w:tr>
    </w:tbl>
    <w:p>
      <w:pPr>
        <w:pStyle w:val="TextBody"/>
        <w:bidi w:val="0"/>
        <w:spacing w:before="0" w:after="0"/>
        <w:ind w:left="0" w:right="0" w:hanging="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29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(6)</w:t>
            </w:r>
          </w:p>
        </w:tc>
        <w:tc>
          <w:tcPr>
            <w:tcW w:w="8810" w:type="dxa"/>
            <w:tcBorders/>
            <w:vAlign w:val="center"/>
          </w:tcPr>
          <w:p>
            <w:pPr>
              <w:pStyle w:val="TableContents"/>
              <w:bidi w:val="0"/>
              <w:spacing w:before="0" w:after="283"/>
              <w:jc w:val="both"/>
              <w:rPr/>
            </w:pPr>
            <w:r>
              <w:rPr/>
              <w:t>The business address of Quiet Venture is 113 Cherry Street PMB 27167, Seattle WA 98104.</w:t>
            </w:r>
          </w:p>
        </w:tc>
      </w:tr>
    </w:tbl>
    <w:p>
      <w:pPr>
        <w:pStyle w:val="TextBody"/>
        <w:bidi w:val="0"/>
        <w:spacing w:before="0" w:after="0"/>
        <w:ind w:left="0" w:right="0" w:hanging="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29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(7)</w:t>
            </w:r>
          </w:p>
        </w:tc>
        <w:tc>
          <w:tcPr>
            <w:tcW w:w="8045" w:type="dxa"/>
            <w:tcBorders/>
            <w:vAlign w:val="center"/>
          </w:tcPr>
          <w:p>
            <w:pPr>
              <w:pStyle w:val="TableContents"/>
              <w:bidi w:val="0"/>
              <w:spacing w:before="0" w:after="283"/>
              <w:jc w:val="both"/>
              <w:rPr/>
            </w:pPr>
            <w:r>
              <w:rPr/>
              <w:t>The business address of Bling Capital is 135 Palm Avenue, Miami Beach FL 33139.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(8)</w:t>
            </w:r>
          </w:p>
        </w:tc>
        <w:tc>
          <w:tcPr>
            <w:tcW w:w="9883" w:type="dxa"/>
            <w:tcBorders/>
            <w:vAlign w:val="center"/>
          </w:tcPr>
          <w:p>
            <w:pPr>
              <w:pStyle w:val="TableContents"/>
              <w:bidi w:val="0"/>
              <w:spacing w:before="0" w:after="283"/>
              <w:jc w:val="both"/>
              <w:rPr/>
            </w:pPr>
            <w:r>
              <w:rPr/>
              <w:t>The business address of SnowPoint Ventures is 700 S. Rosemary Ave, Suite 204, West Palm Beach, FL 33401.</w:t>
            </w:r>
          </w:p>
        </w:tc>
      </w:tr>
    </w:tbl>
    <w:p>
      <w:pPr>
        <w:pStyle w:val="TextBody"/>
        <w:bidi w:val="0"/>
        <w:spacing w:before="0" w:after="0"/>
        <w:ind w:left="0" w:right="0" w:hanging="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29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(9)</w:t>
            </w:r>
          </w:p>
        </w:tc>
        <w:tc>
          <w:tcPr>
            <w:tcW w:w="8315" w:type="dxa"/>
            <w:tcBorders/>
            <w:vAlign w:val="center"/>
          </w:tcPr>
          <w:p>
            <w:pPr>
              <w:pStyle w:val="TableContents"/>
              <w:bidi w:val="0"/>
              <w:spacing w:before="0" w:after="283"/>
              <w:jc w:val="both"/>
              <w:rPr/>
            </w:pPr>
            <w:r>
              <w:rPr/>
              <w:t>The business address of WTI is 104 La Mesa Dr, Suite 102, Portola Valley, CA 94028.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0"/>
        <w:gridCol w:w="9777"/>
      </w:tblGrid>
      <w:tr>
        <w:trPr/>
        <w:tc>
          <w:tcPr>
            <w:tcW w:w="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(10)</w:t>
            </w:r>
          </w:p>
        </w:tc>
        <w:tc>
          <w:tcPr>
            <w:tcW w:w="9777" w:type="dxa"/>
            <w:tcBorders/>
            <w:vAlign w:val="center"/>
          </w:tcPr>
          <w:p>
            <w:pPr>
              <w:pStyle w:val="TableContents"/>
              <w:bidi w:val="0"/>
              <w:spacing w:before="0" w:after="283"/>
              <w:jc w:val="both"/>
              <w:rPr/>
            </w:pPr>
            <w:r>
              <w:rPr/>
              <w:t>The business address of Floodgate Fund is c/o Floodgate Partners VI, L.L.C., 506 Santa Cruz Ave, Suite 200, Menlo Park, CA 94025.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(11)</w:t>
            </w:r>
          </w:p>
        </w:tc>
        <w:tc>
          <w:tcPr>
            <w:tcW w:w="9824" w:type="dxa"/>
            <w:tcBorders/>
            <w:vAlign w:val="center"/>
          </w:tcPr>
          <w:p>
            <w:pPr>
              <w:pStyle w:val="TableContents"/>
              <w:bidi w:val="0"/>
              <w:spacing w:before="0" w:after="283"/>
              <w:jc w:val="both"/>
              <w:rPr/>
            </w:pPr>
            <w:r>
              <w:rPr/>
              <w:t>Consists of (i) 14,890,622 shares of New Merlin Common Stock issued upon conversion of 4,801,088 shares of Merlin Common Stock at the Exchange Ratio and (ii) 1,512,485 shares of New Merlin Common Stock issuable upon exercise of New Merlin Options, representing the conversion of 487,661 Legacy Merlin options at the Exchange Ratio, at an adjusted exercise price of $8.48 per share, granted on February 4, 2026, which vest in full on February 4, 2027 and are not exercisable within 60 days of the Closing Date. If these options are excluded from beneficial ownership, Mr. George’s beneficial ownership would be 14,890,622 shares of New Merlin Common Stock, representing approximately 17.7% of the outstanding New Merlin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Transactions, and in accordance with the terms of the Business Combination Agreement, each executive officer of Inflection Point prior to the consummation of the Transactions ceased serving in such capacities, and Andrew Gundlach, Michael Blitzer, Joseph Samuels, Antoine Theysset, and Kathy Savitt ceased serving on Inflection Point’s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Matt George, Michael Blitzer, Kenneth Braithwaite, Kelyn Brannon, Michael Montelongo, Dr. Robert H. Smith and Carolyn Trabuco were appointed as directors of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to serve until their terms expire at the next annual meeting of stockholders and until their successors are elected and qualified. Matt George was appointed as Chairman of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Matt George was appointed as the Company’s Chief Executive Officer and President, Ryan Carrithers was appointed as the Company’s Chief Financial Officer, and Leslie Ravestein was appointed as the Company’s Chief Legal Officer and Secretary.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also made to the disclosure described in the Proxy Statement/Prospectus in the section titled “</w:t>
      </w:r>
      <w:r>
        <w:rPr>
          <w:rFonts w:ascii="Times New Roman;Times;Serif" w:hAnsi="Times New Roman;Times;Serif"/>
          <w:b w:val="false"/>
          <w:i/>
          <w:caps w:val="false"/>
          <w:smallCaps w:val="false"/>
          <w:sz w:val="20"/>
        </w:rPr>
        <w:t>Proposal No. 6 — The Director Election Proposal”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Management of the Company Following the Business Combination</w:t>
      </w:r>
      <w:r>
        <w:rPr>
          <w:rFonts w:ascii="Times New Roman;Times;Serif" w:hAnsi="Times New Roman;Times;Serif"/>
          <w:b w:val="false"/>
          <w:i w:val="false"/>
          <w:caps w:val="false"/>
          <w:smallCaps w:val="false"/>
          <w:sz w:val="20"/>
        </w:rPr>
        <w:t>” for biographical information about each of the directors and officers, following the Transactions, which is incorporated herein by reference. Additionally, interlocks and insider participation information regarding the Company’s executive officers is described in the Proxy Statement/Prospectus in the section titled “</w:t>
      </w:r>
      <w:r>
        <w:rPr>
          <w:rFonts w:ascii="Times New Roman;Times;Serif" w:hAnsi="Times New Roman;Times;Serif"/>
          <w:b w:val="false"/>
          <w:i/>
          <w:caps w:val="false"/>
          <w:smallCaps w:val="false"/>
          <w:sz w:val="20"/>
        </w:rPr>
        <w:t>Management of the Company Following the Business Combination — Compensation Committee Interlocks and Insider Participation</w:t>
      </w:r>
      <w:r>
        <w:rPr>
          <w:rFonts w:ascii="Times New Roman;Times;Serif" w:hAnsi="Times New Roman;Times;Serif"/>
          <w:b w:val="false"/>
          <w:i w:val="false"/>
          <w:caps w:val="false"/>
          <w:smallCaps w:val="false"/>
          <w:sz w:val="20"/>
        </w:rPr>
        <w:t>” and that information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w:t>
      </w:r>
      <w:r>
        <w:rPr>
          <w:rFonts w:ascii="Times New Roman;Times;Serif" w:hAnsi="Times New Roman;Times;Serif"/>
          <w:b w:val="false"/>
          <w:i w:val="false"/>
          <w:caps w:val="false"/>
          <w:smallCaps w:val="false"/>
          <w:sz w:val="20"/>
        </w:rPr>
        <w:t xml:space="preserve"> Board has determined that each of Michael Blitzer, Kenneth Braithwaite, Kelyn Brannon, Michael Montelongo, Dr. Robert H. Smith and Carolyn Trabuco is deemed to be an independent director within the meaning of the listing rules of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&amp;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and director compensation of the Company’s named executive officers is described in the Proxy Statement/Prospectus in the section titled “</w:t>
      </w:r>
      <w:r>
        <w:rPr>
          <w:rFonts w:ascii="Times New Roman;Times;Serif" w:hAnsi="Times New Roman;Times;Serif"/>
          <w:b w:val="false"/>
          <w:i/>
          <w:caps w:val="false"/>
          <w:smallCaps w:val="false"/>
          <w:sz w:val="20"/>
        </w:rPr>
        <w:t>Executive and Director Compensation of Merlin Labs</w:t>
      </w:r>
      <w:r>
        <w:rPr>
          <w:rFonts w:ascii="Times New Roman;Times;Serif" w:hAnsi="Times New Roman;Times;Serif"/>
          <w:b w:val="false"/>
          <w:i w:val="false"/>
          <w:caps w:val="false"/>
          <w:smallCaps w:val="false"/>
          <w:sz w:val="20"/>
        </w:rPr>
        <w:t>” and that information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immediately prior to the Closing, the standing committees of the Board consist of an audit committee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a compensation committee (the “</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and a nominating and corporate governance committee (the “</w:t>
      </w:r>
      <w:r>
        <w:rPr>
          <w:rFonts w:ascii="Times New Roman;Times;Serif" w:hAnsi="Times New Roman;Times;Serif"/>
          <w:b/>
          <w:i w:val="false"/>
          <w:caps w:val="false"/>
          <w:smallCaps w:val="false"/>
          <w:sz w:val="20"/>
        </w:rPr>
        <w:t>Nominating Committee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immediately prior to the Closing, the Board appointed Kelyn Brannon, Michael Montelongo and Carolyn Trabuco to serve on the Audit Committee, with Kelyn Brannon serving as chairperson and qualifying as an “audit committee financial expert,” as such term is defined in Item 407(d)(5) of Regulation S-K. All members of the Audit Committee meet the requirements for financial literacy under the applicable Nasdaq rules and regulations. The Board appointed Kelyn Brannon, Dr. Robert H. Smith and Carolyn Trabuco to serve on the Compensation Committee, with Carolyn Trabuco serving as chairperson, and the Board appointed Michael Blitzer, Kenneth Braithwaite and Michael Montelongo to serve on the Nominating Committee, with Michael Blitzer as the chairperson.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Relationships and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relationships and related party transactions of the Company are described in the Proxy Statement/Prospectus in the section titled “</w:t>
      </w:r>
      <w:r>
        <w:rPr>
          <w:rFonts w:ascii="Times New Roman;Times;Serif" w:hAnsi="Times New Roman;Times;Serif"/>
          <w:b w:val="false"/>
          <w:i/>
          <w:caps w:val="false"/>
          <w:smallCaps w:val="false"/>
          <w:sz w:val="20"/>
        </w:rPr>
        <w:t>Certain Relationships and Related Person Transactions</w:t>
      </w:r>
      <w:r>
        <w:rPr>
          <w:rFonts w:ascii="Times New Roman;Times;Serif" w:hAnsi="Times New Roman;Times;Serif"/>
          <w:b w:val="false"/>
          <w:i w:val="false"/>
          <w:caps w:val="false"/>
          <w:smallCaps w:val="false"/>
          <w:sz w:val="20"/>
        </w:rPr>
        <w:t>” and that information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regarding legal proceedings in the section of the Proxy Statement/Prospectus titled “</w:t>
      </w:r>
      <w:r>
        <w:rPr>
          <w:rFonts w:ascii="Times New Roman;Times;Serif" w:hAnsi="Times New Roman;Times;Serif"/>
          <w:b w:val="false"/>
          <w:i/>
          <w:caps w:val="false"/>
          <w:smallCaps w:val="false"/>
          <w:sz w:val="20"/>
        </w:rPr>
        <w:t>Information About Inflection Point—Legal Proceedings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About Merlin Labs—Legal Proceedings,</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Price of and Dividends on the Registrant’s Common Equity and Related Stockholder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Inflection Point’s Class A Ordinary Shares, Rights and Units were historically quoted on Nasdaq under the symbols “BACQ”, “BACQR” and “BACQU”, respectively. On March 17, 2026, New Merlin Common Stock began trading on Nasdaq under the trading symbol “MRLN.”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Dividends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paid any cash dividends on its shares of common stock to date. It is the present intention of the Board to retain all earnings, if any, for use in the Company’s business operations and, accordingly, the Board does not anticipate declaring any dividends in the foreseeable future. The payment of cash dividends in the future will be dependent upon the Company’s revenues and earnings, if any, capital requirements, and general financial condition. The payment of any cash dividends is within the discretion of the Board. Further, the ability of the Company to declare dividends may be limited by the terms of financing or other agreements entered into by it or its subsidiaries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respecting the Company’s securities are described in the Proxy Statement/Prospectus in the section titled “</w:t>
      </w:r>
      <w:r>
        <w:rPr>
          <w:rFonts w:ascii="Times New Roman;Times;Serif" w:hAnsi="Times New Roman;Times;Serif"/>
          <w:b w:val="false"/>
          <w:i/>
          <w:caps w:val="false"/>
          <w:smallCaps w:val="false"/>
          <w:sz w:val="20"/>
        </w:rPr>
        <w:t>Market Price and Dividends of Securities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New Merlin Securities</w:t>
      </w:r>
      <w:r>
        <w:rPr>
          <w:rFonts w:ascii="Times New Roman;Times;Serif" w:hAnsi="Times New Roman;Times;Serif"/>
          <w:b w:val="false"/>
          <w:i w:val="false"/>
          <w:caps w:val="false"/>
          <w:smallCaps w:val="false"/>
          <w:sz w:val="20"/>
        </w:rPr>
        <w:t>” and such information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Authorized for Issuance Under Equity Compensation Plans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16, 2026, following the completion of the Transactions, there were 84,262,886 shares of New Merlin Common Stock and 21,715,451 shares of Series A Preferred Stock issued and outstanding. The Company has reserved an initial 14,943,232 total shares of New Merlin Common Stock outstanding for issuance pursuant to the 2026 Incentive Plan (as defined below), subject to certain adjustments set forth therein. Additionally, the Company has reserved an initial 2,241,484 total shares of New Merlin Common Stock for issuance pursuant to the ESPP (as defined below), subject to certain adjustments set forth therein. As of March 16, 2026, there were approximately 79 holders of record of New Merlin Common Stock and 33 holders of record of Series A Preferred Stock. However, because many of the shares of New Merlin Common Stock are held by brokers and other institutions on behalf of stockholders, the Company believes there are substantially more beneficial holders of New Merlin Common Stock than record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Merlin Common Stock is described in the Proxy Statement/Prospectus in the sections titled “</w:t>
      </w:r>
      <w:r>
        <w:rPr>
          <w:rFonts w:ascii="Times New Roman;Times;Serif" w:hAnsi="Times New Roman;Times;Serif"/>
          <w:b w:val="false"/>
          <w:i/>
          <w:caps w:val="false"/>
          <w:smallCaps w:val="false"/>
          <w:sz w:val="20"/>
        </w:rPr>
        <w:t>Proposal No. 7 — The New Merlin Incentive Plan Proposal</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Proposal No. 8 — The New Merlin Employee Stock Purchase Plan Proposal,”</w:t>
      </w:r>
      <w:r>
        <w:rPr>
          <w:rFonts w:ascii="Times New Roman;Times;Serif" w:hAnsi="Times New Roman;Times;Serif"/>
          <w:b w:val="false"/>
          <w:i w:val="false"/>
          <w:caps w:val="false"/>
          <w:smallCaps w:val="false"/>
          <w:sz w:val="20"/>
        </w:rPr>
        <w:t xml:space="preserve"> which are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Sales of Unregistered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Items 1.01 and 3.02 of this Current Report is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Registrant’s Securities to Be Registered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Company’s securities is contained in the Proxy Statement/Prospectus in the section titled “</w:t>
      </w:r>
      <w:r>
        <w:rPr>
          <w:rFonts w:ascii="Times New Roman;Times;Serif" w:hAnsi="Times New Roman;Times;Serif"/>
          <w:b w:val="false"/>
          <w:i/>
          <w:caps w:val="false"/>
          <w:smallCaps w:val="false"/>
          <w:sz w:val="20"/>
        </w:rPr>
        <w:t>Description of New Merlin Securities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is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Officers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is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Statements and Supplementary Data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9.01 of this Current Report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and Disagreements with Accountants on Accounting and Financial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in Item 1.01 of this Current Report under the caption “Securities Purchase Agreements” is incorporated into this Item 3.02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Shares and Series A Preferred Stock issued by the Company in connection with the PIPE Investment have not been registered under the Securities Act, in reliance on the exemption from registration provided by Section 4(a)(2)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in connection with the Domestication, the Company filed the Certificate of Incorporation with the Secretary of State of the State of Delaware. The material terms of the Certificate of Incorporation and the Company’s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and the general effect upon the rights of holders of the Company’s capital stock are discussed in the Proxy Statement/Prospectus in the sections titled “</w:t>
      </w:r>
      <w:r>
        <w:rPr>
          <w:rFonts w:ascii="Times New Roman;Times;Serif" w:hAnsi="Times New Roman;Times;Serif"/>
          <w:b w:val="false"/>
          <w:i/>
          <w:caps w:val="false"/>
          <w:smallCaps w:val="false"/>
          <w:sz w:val="20"/>
        </w:rPr>
        <w:t>Proposal No. 2 — The Domestication Proposal</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Proposal No. 4 — The Organizational Documents Proposal</w:t>
      </w:r>
      <w:r>
        <w:rPr>
          <w:rFonts w:ascii="Times New Roman;Times;Serif" w:hAnsi="Times New Roman;Times;Serif"/>
          <w:b w:val="false"/>
          <w:i w:val="false"/>
          <w:caps w:val="false"/>
          <w:smallCaps w:val="false"/>
          <w:sz w:val="20"/>
        </w:rPr>
        <w:t>,” which are incorporated by reference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4.01. Change in Registrant’s Certifying Accountant.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the transactions contemplated by the Business Combination Agreement are treated as a reverse recapitalization and, as such, the historical financial statements of the accounting acquirer, Legacy Merlin, which have been audited by BDO USA, P.C. (f/k/a HORNE LLP) (“</w:t>
      </w:r>
      <w:r>
        <w:rPr>
          <w:rFonts w:ascii="Times New Roman;Times;Serif" w:hAnsi="Times New Roman;Times;Serif"/>
          <w:b/>
          <w:i w:val="false"/>
          <w:caps w:val="false"/>
          <w:smallCaps w:val="false"/>
          <w:sz w:val="20"/>
        </w:rPr>
        <w:t>BDO</w:t>
      </w:r>
      <w:r>
        <w:rPr>
          <w:rFonts w:ascii="Times New Roman;Times;Serif" w:hAnsi="Times New Roman;Times;Serif"/>
          <w:b w:val="false"/>
          <w:i w:val="false"/>
          <w:caps w:val="false"/>
          <w:smallCaps w:val="false"/>
          <w:sz w:val="20"/>
        </w:rPr>
        <w:t>”), will become the historical financial statements of the Company. In a reverse recapitalization, a change of accountants is presumed to have occurred unless the same accountant audited the pre-transaction financial statements of both the legal acquirer and the accounting acquirer, and such change is generally presumed to occur on the date the reverse recapitalization is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Dismissal of independent registered public accounting firm.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Audit Committee dismissed WithumSmith+Brown, PC (“</w:t>
      </w:r>
      <w:r>
        <w:rPr>
          <w:rFonts w:ascii="Times New Roman;Times;Serif" w:hAnsi="Times New Roman;Times;Serif"/>
          <w:b/>
          <w:i w:val="false"/>
          <w:caps w:val="false"/>
          <w:smallCaps w:val="false"/>
          <w:sz w:val="20"/>
        </w:rPr>
        <w:t>Withum</w:t>
      </w:r>
      <w:r>
        <w:rPr>
          <w:rFonts w:ascii="Times New Roman;Times;Serif" w:hAnsi="Times New Roman;Times;Serif"/>
          <w:b w:val="false"/>
          <w:i w:val="false"/>
          <w:caps w:val="false"/>
          <w:smallCaps w:val="false"/>
          <w:sz w:val="20"/>
        </w:rPr>
        <w:t>”), Inflection Point’s independent registered public accounting firm prior to consummation of the Transactions, as the Company’s independent registered public accounting firm effective immediately.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reports of Withum on Inflection Point’s financial statements as of and for each of the fiscal years ended December 31, 2025 and 2024, did not contain an adverse opinion or a disclaimer of opinion, and were not qualified or modified as to uncertainties, audit scope or accounting principles.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June 24, 2024 (inception) to December 31, 2024 and the year ended December 31, 2025, there were no (1) ‘disagreements’ (within the meaning of Item 304(a)(1)(iv) of Regulation S-K and related instructions under the Exchange Act) between Inflection Point and Withum on any matter of accounting principles or practices, financial statement disclosure, or auditing scope or procedures, which disagreements, if not resolved to Withum’s satisfaction, would have caused Withum to make reference to the subject matter of the disagreement in its reports on Inflection Point’s financial statements for such period; or (2) ‘reportable events’ (as defined in Item 304(a)(1)(v) of Regulation S-K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provided Withum with a copy of the foregoing disclosures and has requested that Withum furnish the Company with a letter addressed to the SEC stating whether it agrees with the statements made by the Company set forth above. A copy of Withum’s letter, dated March 20, 2026, is filed as Exhibit 16.1 to this Current Report and is incorporated by reference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Disclosures regarding the appointment of new independent registered public accounting firm.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Audit Committee approved the engagement of BDO as the Company’s independent registered public accounting firm to audit the Company’s consolidated financial statements for the year ending December 31, 2026. BDO served as the independent registered public accounting firm for Legacy Merlin prior to the consummation of the Transactions. During the period from June 24, 2024 (inception) through December 31, 2025, and subsequent interim period through March 16, 2026, neither Inflection Point nor anyone on Inflection Point’s behalf consulted with BDO with respect to (i) the application of accounting principles to a specified transaction, either completed or proposed, the type of audit opinion that might be rendered on the Company’s financial statements, and neither a written report nor oral advice was provided to the Company that BDO concluded was an important factor considered by the Company in reaching a decision as to any accounting, auditing or financial reporting issue, or (ii) any other matter that was either the subject of a disagreement or a reportable event (each as defined in Item 304(a)(1)(v) of Regulation S-K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5.01. Changes in Control of Registrant.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above in the section titled “</w:t>
      </w:r>
      <w:r>
        <w:rPr>
          <w:rFonts w:ascii="Times New Roman;Times;Serif" w:hAnsi="Times New Roman;Times;Serif"/>
          <w:b w:val="false"/>
          <w:i/>
          <w:caps w:val="false"/>
          <w:smallCaps w:val="false"/>
          <w:sz w:val="20"/>
        </w:rPr>
        <w:t>Directors and Executive Officers</w:t>
      </w:r>
      <w:r>
        <w:rPr>
          <w:rFonts w:ascii="Times New Roman;Times;Serif" w:hAnsi="Times New Roman;Times;Serif"/>
          <w:b w:val="false"/>
          <w:i w:val="false"/>
          <w:caps w:val="false"/>
          <w:smallCaps w:val="false"/>
          <w:sz w:val="20"/>
        </w:rPr>
        <w:t>” in Item 2.01 to this Current Report is incorporated in this Item 5.01 by reference. See also the section of the Proxy Statement/Prospectus titled “Executive and Director Compensation of Merlin Labs” for a description of compensation arrangements with the Company’s executives and directors, which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above in the sections titled “</w:t>
      </w:r>
      <w:r>
        <w:rPr>
          <w:rFonts w:ascii="Times New Roman;Times;Serif" w:hAnsi="Times New Roman;Times;Serif"/>
          <w:b w:val="false"/>
          <w:i/>
          <w:caps w:val="false"/>
          <w:smallCaps w:val="false"/>
          <w:sz w:val="20"/>
        </w:rPr>
        <w:t>Directors and Executive Officers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Executive &amp; Director Compensation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Committees of the Board of Directors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Certain Relationships and Related Party Transactions</w:t>
      </w:r>
      <w:r>
        <w:rPr>
          <w:rFonts w:ascii="Times New Roman;Times;Serif" w:hAnsi="Times New Roman;Times;Serif"/>
          <w:b w:val="false"/>
          <w:i w:val="false"/>
          <w:caps w:val="false"/>
          <w:smallCaps w:val="false"/>
          <w:sz w:val="20"/>
        </w:rPr>
        <w:t>” in Item 2.01 to this Current Report is incorporated in this Item 5.02 by reference. See also the section of the Proxy Statement/Prospectus titled “</w:t>
      </w:r>
      <w:r>
        <w:rPr>
          <w:rFonts w:ascii="Times New Roman;Times;Serif" w:hAnsi="Times New Roman;Times;Serif"/>
          <w:b w:val="false"/>
          <w:i/>
          <w:caps w:val="false"/>
          <w:smallCaps w:val="false"/>
          <w:sz w:val="20"/>
        </w:rPr>
        <w:t>Executive and Director Compensation of Merlin Labs</w:t>
      </w:r>
      <w:r>
        <w:rPr>
          <w:rFonts w:ascii="Times New Roman;Times;Serif" w:hAnsi="Times New Roman;Times;Serif"/>
          <w:b w:val="false"/>
          <w:i w:val="false"/>
          <w:caps w:val="false"/>
          <w:smallCaps w:val="false"/>
          <w:sz w:val="20"/>
        </w:rPr>
        <w:t>” for a description of compensation arrangements with the Company’s executives and directors, which is incorporated herein by reference. Our named executive officers are Matthew George (Chief Executive Officer and President), Ryan Carrithers (Chief Financial Officer), and Leslie Ravestein (Chief Legal Officer and Secretary).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Merlin, Inc. Executive Severance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in connection with the consummation of the Transactions, the Compensation Committee adopted and approved the Merlin, Inc. 2026 Executive Severance Plan (the “</w:t>
      </w:r>
      <w:r>
        <w:rPr>
          <w:rFonts w:ascii="Times New Roman;Times;Serif" w:hAnsi="Times New Roman;Times;Serif"/>
          <w:b/>
          <w:i w:val="false"/>
          <w:caps w:val="false"/>
          <w:smallCaps w:val="false"/>
          <w:sz w:val="20"/>
        </w:rPr>
        <w:t>Executive Severance Plan</w:t>
      </w:r>
      <w:r>
        <w:rPr>
          <w:rFonts w:ascii="Times New Roman;Times;Serif" w:hAnsi="Times New Roman;Times;Serif"/>
          <w:b w:val="false"/>
          <w:i w:val="false"/>
          <w:caps w:val="false"/>
          <w:smallCaps w:val="false"/>
          <w:sz w:val="20"/>
        </w:rPr>
        <w:t>”), under which the Company may provide severance protections to a select group of management or highly compensated employees in connection with qualifying terminations of employment, including our named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Executive Severance Plan, if the named executive officer’s employment is terminated by us without cause or by the executive for good reason, in either case, outside of the 12-month period commencing on a change in control, the executive will be eligible to receive the following payments and benefits: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cash payments in an amount equal to the product of 1.0 (1.5 for Mr. George) and the executive’s then-current annual base salary, paid in substantially equal installments over the 12-months (18-months for Mr. George) following the termination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eligibility for a pro-rata annual bonus for the calendar year in which the termination date occurs and based on actual performance of applicable performance goals;</w:t>
            </w:r>
          </w:p>
        </w:tc>
      </w:tr>
    </w:tbl>
    <w:p>
      <w:pPr>
        <w:pStyle w:val="TextBody"/>
        <w:bidi w:val="0"/>
        <w:spacing w:before="0" w:after="0"/>
        <w:ind w:left="720" w:right="0" w:hanging="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pPr>
            <w:r>
              <w:rPr/>
              <w:t>any earned but unpaid prior-year bonus;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Company-subsidized COBRA premium payments for the executive and the executive’s eligible dependents for up to 12-months (18-months for Mr. George);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accelerated vesting of the portion of the executive’s then-unvested time-vesting equity awards that would have vested during the 12-month period following the termination date (had the executive’s employment not been terminated).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executive’s employment is terminated by us without cause or by the executive for good reason, in either case, within the 12-month period commencing on a change in control, the executive will be eligible to receive the following payments and benefits: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cash payments in an amount equal to the product of (i) 1.5 (2.0 for Mr. George) and (ii) the sum of executive’s then-current annual base salary and target annual bonus, paid in a lump sum;</w:t>
            </w:r>
          </w:p>
        </w:tc>
      </w:tr>
    </w:tbl>
    <w:p>
      <w:pPr>
        <w:pStyle w:val="TextBody"/>
        <w:bidi w:val="0"/>
        <w:spacing w:before="0" w:after="0"/>
        <w:ind w:left="0" w:right="0" w:firstLine="360"/>
        <w:jc w:val="both"/>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pPr>
            <w:r>
              <w:rPr/>
              <w:t>any earned but unpaid prior-year bonus;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Company-subsidized COBRA premium payments for the executive and the executive’s eligible dependents for up to 18-months (24-months for Mr. George);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full vesting of then-unvested equity awards (with performance-vesting equity awards vesting at “target” performance).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executive’s right to receive the severance payments and benefits described above is subject to the executive’s execution and, as applicable, non-revocation of a general release of claims in our favor. In addition, the executive will only be entitled to receive severance outside the 12-month change in control protection period if the executive’s termination occurs following the first anniversary of his or her commencement of employment with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that any payment under the Executive Severance Plan, together with any other amounts paid to the executive, would subject such executive to an excise tax under Section 4999 of the Internal Revenue Code, such payments will be reduced to the extent that such reduction would produce a better net after-tax result for the executive.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Executive Severance Plan is qualified in its entirety by reference to the full text of the Executive Severance Plan, a copy of which is attached hereto as Exhibit 10.11 and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Merlin, Inc. Non-Employee Director Compensation Program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in connection with the consummation of the Transactions, the Board adopted and approved the Merlin, Inc. Non-Employee Director Compensation Program (the “</w:t>
      </w:r>
      <w:r>
        <w:rPr>
          <w:rFonts w:ascii="Times New Roman;Times;Serif" w:hAnsi="Times New Roman;Times;Serif"/>
          <w:b/>
          <w:i w:val="false"/>
          <w:caps w:val="false"/>
          <w:smallCaps w:val="false"/>
          <w:sz w:val="20"/>
        </w:rPr>
        <w:t>Director Compensation Program</w:t>
      </w:r>
      <w:r>
        <w:rPr>
          <w:rFonts w:ascii="Times New Roman;Times;Serif" w:hAnsi="Times New Roman;Times;Serif"/>
          <w:b w:val="false"/>
          <w:i w:val="false"/>
          <w:caps w:val="false"/>
          <w:smallCaps w:val="false"/>
          <w:sz w:val="20"/>
        </w:rPr>
        <w:t>”), pursuant to which eligible directors serving on the Board are entitled to receive certain cash and equity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Compensation Program consists of the following components: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Cash Compensation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both"/>
              <w:rPr/>
            </w:pPr>
            <w:r>
              <w:rPr/>
              <w:t>Annual Retainer: $65,000</w:t>
            </w:r>
          </w:p>
        </w:tc>
      </w:tr>
    </w:tbl>
    <w:p>
      <w:pPr>
        <w:pStyle w:val="TextBody"/>
        <w:bidi w:val="0"/>
        <w:spacing w:before="0" w:after="283"/>
        <w:jc w:val="left"/>
        <w:rPr/>
      </w:pPr>
      <w:r>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pPr>
            <w:r>
              <w:rPr/>
              <w:t>Annual Committee Chair Retainer:</w:t>
            </w:r>
          </w:p>
        </w:tc>
      </w:tr>
    </w:tbl>
    <w:p>
      <w:pPr>
        <w:pStyle w:val="TextBody"/>
        <w:bidi w:val="0"/>
        <w:spacing w:before="0" w:after="283"/>
        <w:jc w:val="left"/>
        <w:rPr/>
      </w:pPr>
      <w:r>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pPr>
            <w:r>
              <w:rPr/>
              <w:t>Audit: $20,000</w:t>
            </w:r>
          </w:p>
        </w:tc>
      </w:tr>
    </w:tbl>
    <w:p>
      <w:pPr>
        <w:pStyle w:val="TextBody"/>
        <w:bidi w:val="0"/>
        <w:spacing w:before="0" w:after="283"/>
        <w:jc w:val="left"/>
        <w:rPr/>
      </w:pPr>
      <w:r>
        <w:rPr/>
        <w:t> </w:t>
      </w:r>
    </w:p>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both"/>
              <w:rPr/>
            </w:pPr>
            <w:r>
              <w:rPr/>
              <w:t>Compensation: $15,000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888" w:type="dxa"/>
        <w:jc w:val="left"/>
        <w:tblInd w:w="0" w:type="dxa"/>
        <w:tblLayout w:type="fixed"/>
        <w:tblCellMar>
          <w:top w:w="0" w:type="dxa"/>
          <w:left w:w="0" w:type="dxa"/>
          <w:bottom w:w="0" w:type="dxa"/>
          <w:right w:w="0" w:type="dxa"/>
        </w:tblCellMar>
      </w:tblPr>
      <w:tblGrid>
        <w:gridCol w:w="38"/>
        <w:gridCol w:w="17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pPr>
            <w:r>
              <w:rPr/>
              <w:t>Nominating and Governance: $10,000</w:t>
            </w:r>
          </w:p>
        </w:tc>
      </w:tr>
    </w:tbl>
    <w:p>
      <w:pPr>
        <w:pStyle w:val="TextBody"/>
        <w:bidi w:val="0"/>
        <w:spacing w:before="0" w:after="283"/>
        <w:jc w:val="left"/>
        <w:rPr/>
      </w:pPr>
      <w:r>
        <w:rPr/>
        <w:t> </w:t>
      </w:r>
    </w:p>
    <w:tbl>
      <w:tblPr>
        <w:tblW w:w="5043" w:type="dxa"/>
        <w:jc w:val="left"/>
        <w:tblInd w:w="0" w:type="dxa"/>
        <w:tblLayout w:type="fixed"/>
        <w:tblCellMar>
          <w:top w:w="0" w:type="dxa"/>
          <w:left w:w="0" w:type="dxa"/>
          <w:bottom w:w="0" w:type="dxa"/>
          <w:right w:w="0" w:type="dxa"/>
        </w:tblCellMar>
      </w:tblPr>
      <w:tblGrid>
        <w:gridCol w:w="38"/>
        <w:gridCol w:w="17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pPr>
            <w:r>
              <w:rPr/>
              <w:t>Annual Committee Member (Non-Chair) Retainer:</w:t>
            </w:r>
          </w:p>
        </w:tc>
      </w:tr>
    </w:tbl>
    <w:p>
      <w:pPr>
        <w:pStyle w:val="TextBody"/>
        <w:bidi w:val="0"/>
        <w:spacing w:before="0" w:after="283"/>
        <w:jc w:val="left"/>
        <w:rPr/>
      </w:pPr>
      <w:r>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pPr>
            <w:r>
              <w:rPr/>
              <w:t>Audit: $10,000</w:t>
            </w:r>
          </w:p>
        </w:tc>
      </w:tr>
    </w:tbl>
    <w:p>
      <w:pPr>
        <w:pStyle w:val="TextBody"/>
        <w:bidi w:val="0"/>
        <w:spacing w:before="0" w:after="283"/>
        <w:jc w:val="left"/>
        <w:rPr/>
      </w:pPr>
      <w:r>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both"/>
              <w:rPr/>
            </w:pPr>
            <w:r>
              <w:rPr/>
              <w:t>Compensation: $7,500</w:t>
            </w:r>
          </w:p>
        </w:tc>
      </w:tr>
    </w:tbl>
    <w:p>
      <w:pPr>
        <w:pStyle w:val="TextBody"/>
        <w:bidi w:val="0"/>
        <w:spacing w:before="0" w:after="283"/>
        <w:jc w:val="left"/>
        <w:rPr/>
      </w:pPr>
      <w:r>
        <w:rPr/>
        <w:t> </w:t>
      </w:r>
    </w:p>
    <w:tbl>
      <w:tblPr>
        <w:tblW w:w="4773" w:type="dxa"/>
        <w:jc w:val="left"/>
        <w:tblInd w:w="0" w:type="dxa"/>
        <w:tblLayout w:type="fixed"/>
        <w:tblCellMar>
          <w:top w:w="0" w:type="dxa"/>
          <w:left w:w="0" w:type="dxa"/>
          <w:bottom w:w="0" w:type="dxa"/>
          <w:right w:w="0" w:type="dxa"/>
        </w:tblCellMar>
      </w:tblPr>
      <w:tblGrid>
        <w:gridCol w:w="38"/>
        <w:gridCol w:w="17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pPr>
            <w:r>
              <w:rPr/>
              <w:t>Nominating and Corporate Governance: $5,000</w:t>
            </w:r>
          </w:p>
        </w:tc>
      </w:tr>
    </w:tbl>
    <w:p>
      <w:pPr>
        <w:pStyle w:val="TextBody"/>
        <w:bidi w:val="0"/>
        <w:spacing w:before="0" w:after="283"/>
        <w:jc w:val="left"/>
        <w:rPr/>
      </w:pPr>
      <w:r>
        <w:rPr/>
        <w:t> </w:t>
      </w:r>
    </w:p>
    <w:tbl>
      <w:tblPr>
        <w:tblW w:w="3693" w:type="dxa"/>
        <w:jc w:val="left"/>
        <w:tblInd w:w="0" w:type="dxa"/>
        <w:tblLayout w:type="fixed"/>
        <w:tblCellMar>
          <w:top w:w="0" w:type="dxa"/>
          <w:left w:w="0" w:type="dxa"/>
          <w:bottom w:w="0" w:type="dxa"/>
          <w:right w:w="0" w:type="dxa"/>
        </w:tblCellMar>
      </w:tblPr>
      <w:tblGrid>
        <w:gridCol w:w="38"/>
        <w:gridCol w:w="17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pPr>
            <w:r>
              <w:rPr/>
              <w:t>Lead Independent Director: $50,000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cash retainers will be paid in quarterly installments in arrears. Annual cash retainers will be pro-rated for any partial calendar quarter of service. In addition, eligible directors may elect to receive vested shares of New Merlin Common Stock in lieu of any annual retainers.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Equity Compensation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Initial Awards</w:t>
            </w:r>
            <w:r>
              <w:rPr/>
              <w:t>: An eligible director who is initially elected or appointed to serve on the Board after the consummation of the Transactions automatically shall be granted, on the date of such eligible director’s election or appointment to the Board, an award of restricted stock units (the “</w:t>
            </w:r>
            <w:r>
              <w:rPr>
                <w:b/>
              </w:rPr>
              <w:t>Initial Award</w:t>
            </w:r>
            <w:r>
              <w:rPr/>
              <w:t>”) pursuant to the 2026 Incentive Plan (as defined below). The number of restricted stock units subject to the Initial Award will be determined by dividing the Pro-Rated Value (as defined below) by the closing price of New Merlin Common Stock on the applicable grant date. The “</w:t>
            </w:r>
            <w:r>
              <w:rPr>
                <w:b/>
              </w:rPr>
              <w:t>Pro-Rated Value</w:t>
            </w:r>
            <w:r>
              <w:rPr/>
              <w:t>” will equal $175,000, multiplied by the fraction, (i) the numerator of which is the difference between 365 and the number of days from the immediately preceding annual meeting of the Company’s stockholders through such eligible director’s appointment date, and (ii) the denominator of which is 365.</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Initial Award will vest in full one day prior to the date of the next annual meeting of the Company’s stockholders following such eligible director’s appointment date, or, if earlier, the first anniversary of the eligible director’s election date, subject to continued service through the applicable vesting date.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Annual Awards</w:t>
            </w:r>
            <w:r>
              <w:rPr/>
              <w:t>: An eligible director who is serving on our board of directors as of the date of an annual meeting of stockholders (beginning with calendar year 2027) automatically shall be granted, on the date of such annual meeting, an award of restricted stock units with an aggregate value of $175,000 (the “</w:t>
            </w:r>
            <w:r>
              <w:rPr>
                <w:b/>
              </w:rPr>
              <w:t>Annual Award</w:t>
            </w:r>
            <w:r>
              <w:rPr/>
              <w:t>”). The number of restricted stock units subject to the Annual Award will be determined by dividing $175,000 by the closing price of New Merlin Common Stock on the applicable grant date.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Annual Award will vest in full on the earlier to occur of the first anniversary of the grant date and one day prior to the date of the next annual meeting following the grant date, subject to continued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equity award granted to an eligible director under the Director Compensation Program will vest in full immediately prior to the occurrence of a “change in control” (as defined in the 2026 Incentive Plan) or upon such eligible director’s termination of service due to the director’s death or disability. Compensation under the Director Compensation Program will be subject to the annual limits on non-employee director compensation set forth in the 2026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Director Compensation Program is qualified in its entirety by reference to the full text of the Director Compensation Program, a copy of which is attached hereto as Exhibit 10.12 and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Board also approved two awards of restricted stock units to each of our non-employee directors (the “</w:t>
      </w:r>
      <w:r>
        <w:rPr>
          <w:rFonts w:ascii="Times New Roman;Times;Serif" w:hAnsi="Times New Roman;Times;Serif"/>
          <w:b/>
          <w:i w:val="false"/>
          <w:caps w:val="false"/>
          <w:smallCaps w:val="false"/>
          <w:sz w:val="20"/>
        </w:rPr>
        <w:t>Director RSU Awards</w:t>
      </w:r>
      <w:r>
        <w:rPr>
          <w:rFonts w:ascii="Times New Roman;Times;Serif" w:hAnsi="Times New Roman;Times;Serif"/>
          <w:b w:val="false"/>
          <w:i w:val="false"/>
          <w:caps w:val="false"/>
          <w:smallCaps w:val="false"/>
          <w:sz w:val="20"/>
        </w:rPr>
        <w:t>”), which will be granted on the date on which a registration statement on Form S-8 with respect to the New Merlin Common Stock issuance under the 2026 Incentive Plan becomes effective, subject to continued service through such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Director RSU award has a dollar-denominated value of $175,000 and will vest in full on the earlier to occur of the first anniversary of the Closing Date and one day prior to the date of the 2027 annual meeting, subject to continued service. The second Director RSU Award has a dollar-denominated value of $200,000 and will vest with respect to 25% of the restricted stock units subject to the Director RSU Award on each of the 6-, 12-, 18- and 24-month anniversaries of the Closing Date, subject to continued service. In addition, each Director RSU Award will vest in full immediately prior to the occurrence of a “change in control” or upon such eligible director’s termination of service due to the director’s death or disability.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Director RSU Awards does not purport to be complete and is subject to and qualified in its entirety by reference to the applicable form of RSU agreement, a copy of which is attached hereto as Exhibit 10.7 and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Merlin, Inc. 2026 Incentive Award Plan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Extraordinary General Meeting, the shareholders of Inflection Point considered and approved the Merlin, Inc. 2026 Incentive Award Plan (the “</w:t>
      </w:r>
      <w:r>
        <w:rPr>
          <w:rFonts w:ascii="Times New Roman;Times;Serif" w:hAnsi="Times New Roman;Times;Serif"/>
          <w:b/>
          <w:i w:val="false"/>
          <w:caps w:val="false"/>
          <w:smallCaps w:val="false"/>
          <w:sz w:val="20"/>
        </w:rPr>
        <w:t>2026 Incentive Plan</w:t>
      </w:r>
      <w:r>
        <w:rPr>
          <w:rFonts w:ascii="Times New Roman;Times;Serif" w:hAnsi="Times New Roman;Times;Serif"/>
          <w:b w:val="false"/>
          <w:i w:val="false"/>
          <w:caps w:val="false"/>
          <w:smallCaps w:val="false"/>
          <w:sz w:val="20"/>
        </w:rPr>
        <w:t>”), under which the Company and its affiliates may grant cash and equity incentive awards to its eligible service providers in order to attract and retain key personnel. The 2026 Incentive Plan was approved by the Inflection Point shareholders on March 12, 2026 and was ratified and approved by the Board on March 16, 2026, and became effective upon the Closing Date. A total of 14,943,232 shares of New Merlin Common Stock are reserved for issuance under the 2026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terms of the 2026 Incentive Plan is set forth in the Proxy Statement/Prospectus in the section titled “</w:t>
      </w:r>
      <w:r>
        <w:rPr>
          <w:rFonts w:ascii="Times New Roman;Times;Serif" w:hAnsi="Times New Roman;Times;Serif"/>
          <w:b w:val="false"/>
          <w:i/>
          <w:caps w:val="false"/>
          <w:smallCaps w:val="false"/>
          <w:sz w:val="20"/>
        </w:rPr>
        <w:t>Proposal No. 7 — The New Merlin Incentive Plan Proposal</w:t>
      </w:r>
      <w:r>
        <w:rPr>
          <w:rFonts w:ascii="Times New Roman;Times;Serif" w:hAnsi="Times New Roman;Times;Serif"/>
          <w:b w:val="false"/>
          <w:i w:val="false"/>
          <w:caps w:val="false"/>
          <w:smallCaps w:val="false"/>
          <w:sz w:val="20"/>
        </w:rPr>
        <w:t>,” which is incorporated herein by reference. Such summary and the foregoing description of the 2026 Incentive Plan are qualified in their entirety by reference to the full text of the 2026 Incentive Plan, a copy of which is attached hereto as Exhibit 10.5 and incorporated herein by reference.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Merlin, Inc. 2026 Employee Stock Purchase Plan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Extraordinary General Meeting, the shareholders of Inflection Point considered and approved the Merlin, Inc. 2026 Employee Stock Purchase Plan (the “</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 which provides employees of the Company and its participating subsidiaries with the opportunity to purchase shares of New Merlin Common Stock at a discount through accumulated payroll deductions during successive offering periods. The ESPP was approved by the Inflection Point shareholders board of directors on March 12, 2026 and was ratified and approved by the Board on March 16, 2026, and became effective upon the date of approval by the shareholders of Inflection Point. A total of 2,241,484 shares of New Merlin Common Stock were reserved under the ESPP.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terms of the ESPP is set forth in the Proxy Statement/Prospectus in the section titled “</w:t>
      </w:r>
      <w:r>
        <w:rPr>
          <w:rFonts w:ascii="Times New Roman;Times;Serif" w:hAnsi="Times New Roman;Times;Serif"/>
          <w:b w:val="false"/>
          <w:i/>
          <w:caps w:val="false"/>
          <w:smallCaps w:val="false"/>
          <w:sz w:val="20"/>
        </w:rPr>
        <w:t>Proposal No. 8 — The New Merlin Employee Stock Purchase Plan Proposal</w:t>
      </w:r>
      <w:r>
        <w:rPr>
          <w:rFonts w:ascii="Times New Roman;Times;Serif" w:hAnsi="Times New Roman;Times;Serif"/>
          <w:b w:val="false"/>
          <w:i w:val="false"/>
          <w:caps w:val="false"/>
          <w:smallCaps w:val="false"/>
          <w:sz w:val="20"/>
        </w:rPr>
        <w:t>,” which is incorporated herein by reference. Such summary and the foregoing description of the ESPP are qualified in their entirety by reference to the full text of the ESPP, a copy of which is attached hereto as Exhibit 10.8 and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Merlin Labs, Inc. 2018 Equity Incentive Plan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consummation of the Transactions, the Company assumed the Merlin Labs, Inc. 2018 Equity Incentive Plan, as amended (the “2018 Plan”) from Legacy Merlin and, thereafter, terminated the 2018 Plan. However, any outstanding awards granted under the 2018 Plan will remain outstanding, subject to the terms of the 2018 Plan and applicable award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terms of the 2018 Plan is set forth in the Proxy Statement/Prospectus in the section titled “</w:t>
      </w:r>
      <w:r>
        <w:rPr>
          <w:rFonts w:ascii="Times New Roman;Times;Serif" w:hAnsi="Times New Roman;Times;Serif"/>
          <w:b w:val="false"/>
          <w:i/>
          <w:caps w:val="false"/>
          <w:smallCaps w:val="false"/>
          <w:sz w:val="20"/>
        </w:rPr>
        <w:t>Executive and Director Compensation of Merlin Labs — Equity Incentive Plans — 2018 Equity Incentive Plan</w:t>
      </w:r>
      <w:r>
        <w:rPr>
          <w:rFonts w:ascii="Times New Roman;Times;Serif" w:hAnsi="Times New Roman;Times;Serif"/>
          <w:b w:val="false"/>
          <w:i w:val="false"/>
          <w:caps w:val="false"/>
          <w:smallCaps w:val="false"/>
          <w:sz w:val="20"/>
        </w:rPr>
        <w:t>,” which is incorporated herein by reference. Such summary and the foregoing description of the 2018 Plan are qualified in their entirety by reference to the full text of the 2018 Plan, a copy of which is attached hereto as Exhibit 10.9 and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3.03 of this Current Report is incorporated in this Item 5.03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5.06. Change in Shell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Transactions, Inflection Point ceased being a shell company. Reference is made to the disclosure in the Proxy Statement/Prospectus in the sections titled “</w:t>
      </w:r>
      <w:r>
        <w:rPr>
          <w:rFonts w:ascii="Times New Roman;Times;Serif" w:hAnsi="Times New Roman;Times;Serif"/>
          <w:b w:val="false"/>
          <w:i/>
          <w:caps w:val="false"/>
          <w:smallCaps w:val="false"/>
          <w:sz w:val="20"/>
          <w:shd w:fill="FFFFFF" w:val="clear"/>
        </w:rPr>
        <w:t>Proposal No. 1—The Business Combination Proposal</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shd w:fill="FFFFFF" w:val="clear"/>
        </w:rPr>
        <w:t>Proposal No. 2—The Domestication Proposal</w:t>
      </w:r>
      <w:r>
        <w:rPr>
          <w:rFonts w:ascii="Times New Roman;Times;Serif" w:hAnsi="Times New Roman;Times;Serif"/>
          <w:b w:val="false"/>
          <w:i w:val="false"/>
          <w:caps w:val="false"/>
          <w:smallCaps w:val="false"/>
          <w:sz w:val="20"/>
        </w:rPr>
        <w:t>” which are incorporated herein by reference. Further, the information set forth in the Introductory Note and under Item 2.01 of this Current Report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8.01. Other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issued a press release announcing the completion of the Business Combination, a copy of which is furnished as Exhibit 99.4 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8.01 (including Exhibit 99.4)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statements of businesses acquired.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Legacy Merlin as of and for the years ended December 31, 2025 and 2024 are set forth in Exhibit 99.1 hereto and are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Inflection Point as of and for the years ended December 31, 2025 and 2024 and the related notes are included in the Inflection Point Annual Report,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 forma 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information of Legacy Merlin and Inflection Point as of and for the year ended December 31, 2025 is set forth in Exhibit 99.3 hereto and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Exhibits.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both"/>
              <w:rPr>
                <w:b/>
                <w:sz w:val="20"/>
              </w:rPr>
            </w:pPr>
            <w:r>
              <w:rPr>
                <w:b/>
                <w:sz w:val="20"/>
              </w:rPr>
              <w:t xml:space="preserve">Exhibit </w:t>
              <w:br/>
              <w:t>Number</w:t>
            </w:r>
          </w:p>
        </w:tc>
        <w:tc>
          <w:tcPr>
            <w:tcW w:w="60" w:type="dxa"/>
            <w:tcBorders/>
            <w:tcMar>
              <w:bottom w:w="0" w:type="dxa"/>
            </w:tcMar>
            <w:vAlign w:val="center"/>
          </w:tcPr>
          <w:p>
            <w:pPr>
              <w:pStyle w:val="TableContents"/>
              <w:bidi w:val="0"/>
              <w:spacing w:before="0" w:after="283"/>
              <w:jc w:val="both"/>
              <w:rPr/>
            </w:pPr>
            <w:r>
              <w:rPr/>
              <w:t> </w:t>
            </w:r>
          </w:p>
        </w:tc>
        <w:tc>
          <w:tcPr>
            <w:tcW w:w="9420"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2.1+**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Pr>
              <w:instrText xml:space="preserve"> HYPERLINK "http://www.sec.gov/Archives/edgar/data/2028707/000121390026013897/ea0258163-05.htm" \l "T882"</w:instrText>
            </w:r>
            <w:r>
              <w:rPr>
                <w:rStyle w:val="InternetLink"/>
                <w:sz w:val="20"/>
              </w:rPr>
              <w:fldChar w:fldCharType="separate"/>
            </w:r>
            <w:r>
              <w:rPr>
                <w:rStyle w:val="InternetLink"/>
                <w:sz w:val="20"/>
              </w:rPr>
              <w:t>Business Combination Agreement, dated as of August 13, 2025, by and among Bleichroeder Acquisition Corp. I, IPDX Merger Sub, Inc., and Merlin Labs, Inc (incorporated by reference to Exhibit 2.1 to Amendment No. 3 to the Registration Statement on Form S-4 (File No. 333-292719) filed February 12, 2026).</w:t>
            </w:r>
            <w:r>
              <w:rPr>
                <w:rStyle w:val="InternetLink"/>
                <w:sz w:val="20"/>
              </w:rPr>
              <w:fldChar w:fldCharType="end"/>
            </w:r>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2-2.htm">
              <w:r>
                <w:rPr>
                  <w:rStyle w:val="InternetLink"/>
                  <w:sz w:val="20"/>
                </w:rPr>
                <w:t>Amendment No. 1 to Business Combination Agreement, dated as of March 14, 2026, by and between Bleichroeder Acquisition Corp. I (now known as Merlin, Inc.) and Merlin Labs, Inc.</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Plan of Domestication (incorporated by reference to Exhibit 2.2 to Amendment No. 3 to the Registration Statement on Form S-4 (File No. 333-292719) filed February 12, 2026).</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2.4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2-4.htm">
              <w:r>
                <w:rPr>
                  <w:rStyle w:val="InternetLink"/>
                  <w:sz w:val="20"/>
                </w:rPr>
                <w:t xml:space="preserve">Certificate of Merger of Merlin Labs, Inc. with and into IPDX Merger Sub, Inc. </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3-1.htm">
              <w:r>
                <w:rPr>
                  <w:rStyle w:val="InternetLink"/>
                  <w:sz w:val="20"/>
                </w:rPr>
                <w:t>Certificate of Corporate Domestication.</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3.2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3-2.htm">
              <w:r>
                <w:rPr>
                  <w:rStyle w:val="InternetLink"/>
                  <w:sz w:val="20"/>
                </w:rPr>
                <w:t>Certificate of Incorporation of Merlin, Inc.</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3.3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3-3.htm">
              <w:r>
                <w:rPr>
                  <w:rStyle w:val="InternetLink"/>
                  <w:sz w:val="20"/>
                </w:rPr>
                <w:t>Bylaws of Merlin, Inc.</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3.4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3-4.htm">
              <w:r>
                <w:rPr>
                  <w:rStyle w:val="InternetLink"/>
                  <w:sz w:val="20"/>
                </w:rPr>
                <w:t>Certificate of Designation of Preferences, Rights and Limitations of 12.0% Series A Cumulative Convertible Preferred Stock.</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4.1+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r:id="rId3">
              <w:r>
                <w:rPr>
                  <w:rStyle w:val="InternetLink"/>
                  <w:sz w:val="20"/>
                </w:rPr>
                <w:t>Specimen Common Stock Certificate of Merlin, Inc. (incorporated by reference to Exhibit 4.5 to Amendment No. 3 to the Registration Statement on Form S-4 (File No. 333-292719) filed February 12, 2026).</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4.2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4-2.htm">
              <w:r>
                <w:rPr>
                  <w:rStyle w:val="InternetLink"/>
                  <w:sz w:val="20"/>
                </w:rPr>
                <w:t xml:space="preserve">Specimen Series A Preferred Stock of Merlin, Inc. </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4.3+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r:id="rId4">
              <w:r>
                <w:rPr>
                  <w:rStyle w:val="InternetLink"/>
                  <w:sz w:val="20"/>
                </w:rPr>
                <w:t>Specimen Common Stock Purchase Warrant of Merlin, Inc. (incorporated by reference to Exhibit 4.6 to Amendment No. 3 to the Registration Statement on Form S-4 (File No. 333-292719) filed February 12, 2026).</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4.4+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shd w:fill="CCEEFF" w:val="clear"/>
                </w:rPr>
                <w:t>Specimen Unit Certificate of Inflection Point (incorporated herein by reference to Exhibit 4.1 filed with the Company’s Registration Statement on Form S-1 (Reg. No. 333-280777), filed with the SEC on October 23, 2024).</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4.5+</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Specimen Class A Ordinary Share Certificate of Inflection Point (incorporated herein by reference to Exhibit 4.2 filed with the Company’s Registration Statement on Form S-1 (Reg. No. 333-280777), filed with the SEC on October 23, 2024).</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4.6+</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Specimen Rights Certificate of Inflection Point (incorporated by reference to Exhibit 4.3 filed with the Company’s Registration Statement on Form S-1 (Reg. No. 333-280777), filed with the SEC on October 23, 2024).</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4.7+</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r:id="rId8">
              <w:r>
                <w:rPr>
                  <w:rStyle w:val="InternetLink"/>
                  <w:sz w:val="20"/>
                </w:rPr>
                <w:t>Share Rights Agreement, dated as of October 31, 2024, by and between the Company and Continental Stock Transfer &amp; Trust Company, as rights agent (incorporated herein by reference to Exhibit 4.1 filed with the Company’s Current Report on Form 8-K (File No. 001-42392), filed with the SEC on November 5, 2024).</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10.1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10-1.htm">
              <w:r>
                <w:rPr>
                  <w:rStyle w:val="InternetLink"/>
                  <w:sz w:val="20"/>
                </w:rPr>
                <w:t>Form of Indemnification Agreements, dated March 16, 2026 between Merlin, Inc. and each of its officers and directors.  </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10.2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10-2.htm">
              <w:r>
                <w:rPr>
                  <w:rStyle w:val="InternetLink"/>
                  <w:sz w:val="20"/>
                </w:rPr>
                <w:t>Sponsor Lock-Up Agreement, dated March 16, 2026, by and among Merlin, Inc., Bleichroeder Sponsor 1 LLC, a Cayman Islands limited liability company, and any additional party thereto.</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10.3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10-3.htm">
              <w:r>
                <w:rPr>
                  <w:rStyle w:val="InternetLink"/>
                  <w:sz w:val="20"/>
                </w:rPr>
                <w:t>Lock-Up Agreement, dated March 16, 2026, by and among Merlin, Inc. and the Merlin Lock-Up Holders listed on Schedule I thereto.</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10-4.htm">
              <w:r>
                <w:rPr>
                  <w:rStyle w:val="InternetLink"/>
                  <w:sz w:val="20"/>
                </w:rPr>
                <w:t xml:space="preserve">Amended and Restated Registration Rights Agreement, dated March 16, 2026, by and among Merlin, Inc. and each of the shareholders of Merlin, Inc. identified on the signature pages thereto. </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10.5</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10-5.htm">
              <w:r>
                <w:rPr>
                  <w:rStyle w:val="InternetLink"/>
                  <w:sz w:val="20"/>
                </w:rPr>
                <w:t>Merlin, Inc. 2026 Incentive Award Plan.</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10.6</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10-6.htm">
              <w:r>
                <w:rPr>
                  <w:rStyle w:val="InternetLink"/>
                  <w:sz w:val="20"/>
                </w:rPr>
                <w:t>Form of Stock Option Grant Notice and Stock Option Agreement under the Merlin, Inc. 2026 Incentive Award Plan.</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10.7</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10-7.htm">
              <w:r>
                <w:rPr>
                  <w:rStyle w:val="InternetLink"/>
                  <w:sz w:val="20"/>
                </w:rPr>
                <w:t>Form of Restricted Stock Unit Grant Notice and Restricted Stock Unit Agreement under the Merlin, Inc. 2026 Incentive Award Plan.</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10.8</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257401ex10-8.htm">
              <w:r>
                <w:rPr>
                  <w:rStyle w:val="InternetLink"/>
                  <w:sz w:val="20"/>
                </w:rPr>
                <w:t>Merlin, Inc. 2026 Employee Stock Purchase Plan.</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2"/>
        <w:gridCol w:w="60"/>
        <w:gridCol w:w="9543"/>
      </w:tblGrid>
      <w:tr>
        <w:trPr/>
        <w:tc>
          <w:tcPr>
            <w:tcW w:w="602" w:type="dxa"/>
            <w:tcBorders/>
            <w:shd w:fill="CCEEFF" w:val="clear"/>
            <w:vAlign w:val="center"/>
          </w:tcPr>
          <w:p>
            <w:pPr>
              <w:pStyle w:val="TableContents"/>
              <w:bidi w:val="0"/>
              <w:spacing w:before="0" w:after="283"/>
              <w:jc w:val="both"/>
              <w:rPr>
                <w:sz w:val="20"/>
              </w:rPr>
            </w:pPr>
            <w:r>
              <w:rPr>
                <w:sz w:val="20"/>
              </w:rPr>
              <w:t>10.9</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w:anchor="ea028257401ex10-9.htm">
              <w:r>
                <w:rPr>
                  <w:rStyle w:val="InternetLink"/>
                  <w:sz w:val="20"/>
                </w:rPr>
                <w:t xml:space="preserve">Merlin, Inc. 2018 Equity Incentive Plan. </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10.10</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w:anchor="ea028257401ex10-10.htm">
              <w:r>
                <w:rPr>
                  <w:rStyle w:val="InternetLink"/>
                  <w:sz w:val="20"/>
                </w:rPr>
                <w:t>Form of Stock Option Grant Notice and Stock Option Agreement under the 2018 Equity Incentive Plan.</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10.11</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w:anchor="ea028257401ex10-11.htm">
              <w:r>
                <w:rPr>
                  <w:rStyle w:val="InternetLink"/>
                  <w:sz w:val="20"/>
                </w:rPr>
                <w:t xml:space="preserve">Merlin, Inc. Executive Severance Plan. </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10.12</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w:anchor="ea028257401ex10-12.htm">
              <w:r>
                <w:rPr>
                  <w:rStyle w:val="InternetLink"/>
                  <w:sz w:val="20"/>
                </w:rPr>
                <w:t xml:space="preserve">Merlin, Inc. Non-Employee Director Compensation Program. </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10.13+</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"https://www.sec.gov/ix?doc=/Archives/edgar/data/2028707/000121390026015125/ea0258163-07.htm" \l "T885"</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Form of Sponsor Support Agreement (incorporated by reference to Exhibit 10.5 to Amendment No. 3 to the Registration Statement on Form S-4 (File No. 333-292719) filed February 12, 2026).</w:t>
            </w:r>
            <w:r>
              <w:rPr>
                <w:rStyle w:val="InternetLink"/>
                <w:sz w:val="20"/>
                <w:rFonts w:ascii="Times New Roman;Times;Serif" w:hAnsi="Times New Roman;Times;Serif"/>
              </w:rPr>
              <w:fldChar w:fldCharType="end"/>
            </w:r>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10.14+</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"https://www.sec.gov/ix?doc=/Archives/edgar/data/2028707/000121390026015125/ea0258163-07.htm" \l "T886"</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Form of Stockholder Voting and Support Agreement (incorporated by reference to Exhibit 10.6 to Amendment No. 3 to the Registration Statement on Form S-4 (File No. 333-292719) filed February 12, 2026).</w:t>
            </w:r>
            <w:r>
              <w:rPr>
                <w:rStyle w:val="InternetLink"/>
                <w:sz w:val="20"/>
                <w:rFonts w:ascii="Times New Roman;Times;Serif" w:hAnsi="Times New Roman;Times;Serif"/>
              </w:rPr>
              <w:fldChar w:fldCharType="end"/>
            </w:r>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10.15+</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r:id="rId9">
              <w:r>
                <w:rPr>
                  <w:rStyle w:val="InternetLink"/>
                  <w:sz w:val="20"/>
                </w:rPr>
                <w:t>Form of Signing Series A SPA (incorporated herein by reference to Exhibit 10.6 to the Company’s Current Report on Form 8-K (File No. 001-42392), filed with the SEC on August 14, 2025).</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10.16+**</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r:id="rId10">
              <w:r>
                <w:rPr>
                  <w:rStyle w:val="InternetLink"/>
                  <w:sz w:val="20"/>
                </w:rPr>
                <w:t>Form of Amendment No. 1 to the Signing Series A SPA (incorporated herein by reference to Exhibit 10.1 to the Company’s Current Report on Form 8-K (File No. 001-42392), filed with the SEC on November 17, 2025).</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10.17+**</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r:id="rId11">
              <w:r>
                <w:rPr>
                  <w:rStyle w:val="InternetLink"/>
                  <w:sz w:val="20"/>
                </w:rPr>
                <w:t>Form of Additional Series A SPA (incorporated herein by reference to Exhibit 10.2 to the Company’s Current Report on Form 8-K (File No. 001-42392), filed with the SEC on November 17, 2025).</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10.18+</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r:id="rId12">
              <w:r>
                <w:rPr>
                  <w:rStyle w:val="InternetLink"/>
                  <w:rFonts w:ascii="Times New Roman;Times;Serif" w:hAnsi="Times New Roman;Times;Serif"/>
                  <w:sz w:val="20"/>
                </w:rPr>
                <w:t>Letter Agreement, dated October 31, 2024, by and among Inflection Point, Bleichroeder Sponsor 1 LLC, and certain officers and directors of Inflection Point (incorporated herein by reference to Exhibit 10.4 to the Company’s Current Report on Form 8-K (File No. 001-42392), filed with the SEC on November 5, 2024).</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10.19+</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r:id="rId13">
              <w:r>
                <w:rPr>
                  <w:rStyle w:val="InternetLink"/>
                  <w:rFonts w:ascii="Times New Roman;Times;Serif" w:hAnsi="Times New Roman;Times;Serif"/>
                  <w:sz w:val="20"/>
                </w:rPr>
                <w:t>Private Placement Units Purchase Agreement, dated October 31, 2024, by and between Inflection Point and Bleichroeder Sponsor 1 LLC (incorporated herein by reference to Exhibit 10.3 to the Company’s Current Report on Form 8-K (File No. 001-42392), filed with the SEC on November 5, 2024).</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10.20+</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r:id="rId14">
              <w:r>
                <w:rPr>
                  <w:rStyle w:val="InternetLink"/>
                  <w:sz w:val="20"/>
                </w:rPr>
                <w:t>Investment Management Trust Agreement, dated October 31, 2024, by and between Inflection Point and Continental Stock Transfer &amp; Trust Company, as trustee (incorporated herein by reference to Exhibit 10.1 to Inflection Point’s Current Report on Form 8-K (File No. 001-42392), filed with the SEC on November 5, 2024).</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10.21+</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r:id="rId15">
              <w:r>
                <w:rPr>
                  <w:rStyle w:val="InternetLink"/>
                  <w:sz w:val="20"/>
                </w:rPr>
                <w:t>Employment Offer Letter, dated September 19, 2025, by and between Merlin Labs, Inc. and Ryan Carrithers (incorporated by reference to Exhibit 10.18 to Amendment No. 3 to the Registration Statement on Form S-4 (File No. 333-292719) filed February 12, 2026).</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16.1</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w:anchor="ea028257401ex16-1.htm">
              <w:r>
                <w:rPr>
                  <w:rStyle w:val="InternetLink"/>
                  <w:sz w:val="20"/>
                </w:rPr>
                <w:t>Letter from WithumSmith+Brown, PC to the SEC, dated March 20, 2026.</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21.1</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w:anchor="ea028257401ex21-1.htm">
              <w:r>
                <w:rPr>
                  <w:rStyle w:val="InternetLink"/>
                  <w:sz w:val="20"/>
                </w:rPr>
                <w:t>List of Subsidiaries of Merlin, Inc.</w:t>
              </w:r>
            </w:hyperlink>
            <w:r>
              <w:rPr>
                <w:sz w:val="20"/>
              </w:rPr>
              <w:t xml:space="preserve">  </w:t>
            </w:r>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pPr>
            <w:r>
              <w:rPr/>
              <w:t>23.1</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w:anchor="ea028257401ex23-1.htm">
              <w:r>
                <w:rPr>
                  <w:rStyle w:val="InternetLink"/>
                </w:rPr>
                <w:t>Consent of WithumSmith+Brown, PC, dated March 20, 2026.</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99.1</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w:anchor="ea028257401ex99-1.htm">
              <w:r>
                <w:rPr>
                  <w:rStyle w:val="InternetLink"/>
                  <w:sz w:val="20"/>
                </w:rPr>
                <w:t>Audited financial statements of Legacy Merlin as of and for the years ended December 31, 2025 and 2024.</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99.2</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w:anchor="ea028257401ex99-2.htm">
              <w:r>
                <w:rPr>
                  <w:rStyle w:val="InternetLink"/>
                  <w:sz w:val="20"/>
                </w:rPr>
                <w:t>Management’s Discussion and Analysis of Financial Condition and Results of Operations of Legacy Merlin as of and for the years ended December 31, 2025 and 2024.</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99.3</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w:anchor="ea028257401ex99-3.htm">
              <w:r>
                <w:rPr>
                  <w:rStyle w:val="InternetLink"/>
                  <w:sz w:val="20"/>
                </w:rPr>
                <w:t>Unaudited pro forma condensed combined financial information of Legacy Merlin and Inflection Point as of and for the year ended December 31, 2025</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sz w:val="20"/>
              </w:rPr>
            </w:pPr>
            <w:r>
              <w:rPr>
                <w:sz w:val="20"/>
              </w:rPr>
              <w:t>99.4</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hyperlink w:anchor="ea028257401ex99-4.htm">
              <w:r>
                <w:rPr>
                  <w:rStyle w:val="InternetLink"/>
                  <w:sz w:val="20"/>
                </w:rPr>
                <w:t>Press Release, dated March 16, 2026, announcing the Closing of the Business Combination.</w:t>
              </w:r>
            </w:hyperlink>
          </w:p>
        </w:tc>
      </w:tr>
      <w:tr>
        <w:trPr/>
        <w:tc>
          <w:tcPr>
            <w:tcW w:w="60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543" w:type="dxa"/>
            <w:tcBorders/>
            <w:shd w:fill="FFFFFF" w:val="clear"/>
            <w:vAlign w:val="center"/>
          </w:tcPr>
          <w:p>
            <w:pPr>
              <w:pStyle w:val="TableContents"/>
              <w:bidi w:val="0"/>
              <w:spacing w:before="0" w:after="283"/>
              <w:jc w:val="both"/>
              <w:rPr/>
            </w:pPr>
            <w:r>
              <w:rPr/>
              <w:t> </w:t>
            </w:r>
          </w:p>
        </w:tc>
      </w:tr>
      <w:tr>
        <w:trPr/>
        <w:tc>
          <w:tcPr>
            <w:tcW w:w="602" w:type="dxa"/>
            <w:tcBorders/>
            <w:shd w:fill="CCEEFF" w:val="clear"/>
            <w:vAlign w:val="center"/>
          </w:tcPr>
          <w:p>
            <w:pPr>
              <w:pStyle w:val="TableContents"/>
              <w:bidi w:val="0"/>
              <w:spacing w:before="0" w:after="283"/>
              <w:jc w:val="both"/>
              <w:rPr/>
            </w:pPr>
            <w:r>
              <w:rPr/>
              <w:t>104</w:t>
            </w:r>
          </w:p>
        </w:tc>
        <w:tc>
          <w:tcPr>
            <w:tcW w:w="60" w:type="dxa"/>
            <w:tcBorders/>
            <w:shd w:fill="CCEEFF" w:val="clear"/>
            <w:vAlign w:val="center"/>
          </w:tcPr>
          <w:p>
            <w:pPr>
              <w:pStyle w:val="TableContents"/>
              <w:bidi w:val="0"/>
              <w:spacing w:before="0" w:after="283"/>
              <w:jc w:val="both"/>
              <w:rPr/>
            </w:pPr>
            <w:r>
              <w:rPr/>
              <w:t> </w:t>
            </w:r>
          </w:p>
        </w:tc>
        <w:tc>
          <w:tcPr>
            <w:tcW w:w="9543" w:type="dxa"/>
            <w:tcBorders/>
            <w:shd w:fill="CCEEFF" w:val="clear"/>
            <w:vAlign w:val="center"/>
          </w:tcPr>
          <w:p>
            <w:pPr>
              <w:pStyle w:val="TableContents"/>
              <w:bidi w:val="0"/>
              <w:spacing w:before="0" w:after="283"/>
              <w:jc w:val="both"/>
              <w:rPr/>
            </w:pPr>
            <w:r>
              <w:rPr/>
              <w:t>Cover page interactive data file (embedded within the iXBRL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sz w:val="20"/>
              </w:rPr>
            </w:pPr>
            <w:r>
              <w:rPr>
                <w:sz w:val="20"/>
              </w:rPr>
              <w:t>**</w:t>
            </w:r>
          </w:p>
        </w:tc>
        <w:tc>
          <w:tcPr>
            <w:tcW w:w="10018" w:type="dxa"/>
            <w:tcBorders/>
            <w:vAlign w:val="center"/>
          </w:tcPr>
          <w:p>
            <w:pPr>
              <w:pStyle w:val="TableContents"/>
              <w:bidi w:val="0"/>
              <w:spacing w:before="0" w:after="283"/>
              <w:jc w:val="both"/>
              <w:rPr>
                <w:sz w:val="20"/>
              </w:rPr>
            </w:pPr>
            <w:r>
              <w:rPr>
                <w:sz w:val="20"/>
              </w:rPr>
              <w:t>The annexes, schedules, and certain exhibits to this Exhibit have been omitted pursuant to Item 601(b)(2) of Regulation S-K. The Registrant hereby agrees to furnish supplementally a copy of any omitted annex, schedule or exhibit to the SEC upon request.</w:t>
            </w:r>
          </w:p>
        </w:tc>
      </w:tr>
    </w:tbl>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140"/>
        <w:gridCol w:w="1370"/>
      </w:tblGrid>
      <w:tr>
        <w:trPr/>
        <w:tc>
          <w:tcPr>
            <w:tcW w:w="140" w:type="dxa"/>
            <w:tcBorders/>
            <w:vAlign w:val="center"/>
          </w:tcPr>
          <w:p>
            <w:pPr>
              <w:pStyle w:val="TableContents"/>
              <w:bidi w:val="0"/>
              <w:spacing w:before="0" w:after="283"/>
              <w:jc w:val="left"/>
              <w:rPr>
                <w:sz w:val="20"/>
              </w:rPr>
            </w:pPr>
            <w:r>
              <w:rPr>
                <w:sz w:val="20"/>
              </w:rPr>
              <w:t>+</w:t>
            </w:r>
          </w:p>
        </w:tc>
        <w:tc>
          <w:tcPr>
            <w:tcW w:w="1370" w:type="dxa"/>
            <w:tcBorders/>
            <w:vAlign w:val="center"/>
          </w:tcPr>
          <w:p>
            <w:pPr>
              <w:pStyle w:val="TableContents"/>
              <w:bidi w:val="0"/>
              <w:spacing w:before="0" w:after="283"/>
              <w:jc w:val="both"/>
              <w:rPr>
                <w:sz w:val="20"/>
              </w:rPr>
            </w:pPr>
            <w:r>
              <w:rPr>
                <w:sz w:val="20"/>
              </w:rPr>
              <w:t>Previously filed.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Current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1805"/>
        <w:gridCol w:w="635"/>
        <w:gridCol w:w="1895"/>
      </w:tblGrid>
      <w:tr>
        <w:trPr/>
        <w:tc>
          <w:tcPr>
            <w:tcW w:w="1805" w:type="dxa"/>
            <w:tcBorders/>
            <w:vAlign w:val="center"/>
          </w:tcPr>
          <w:p>
            <w:pPr>
              <w:pStyle w:val="TableContents"/>
              <w:bidi w:val="0"/>
              <w:spacing w:before="0" w:after="283"/>
              <w:jc w:val="left"/>
              <w:rPr>
                <w:sz w:val="20"/>
              </w:rPr>
            </w:pPr>
            <w:r>
              <w:rPr>
                <w:sz w:val="20"/>
              </w:rPr>
              <w:t>Date: March 20, 2026</w:t>
            </w:r>
          </w:p>
        </w:tc>
        <w:tc>
          <w:tcPr>
            <w:tcW w:w="2530" w:type="dxa"/>
            <w:gridSpan w:val="2"/>
            <w:tcBorders/>
            <w:vAlign w:val="center"/>
          </w:tcPr>
          <w:p>
            <w:pPr>
              <w:pStyle w:val="TableContents"/>
              <w:bidi w:val="0"/>
              <w:spacing w:before="0" w:after="283"/>
              <w:jc w:val="left"/>
              <w:rPr>
                <w:b/>
                <w:sz w:val="20"/>
              </w:rPr>
            </w:pPr>
            <w:r>
              <w:rPr>
                <w:b/>
                <w:sz w:val="20"/>
              </w:rPr>
              <w:t>MERLIN, INC.</w:t>
            </w:r>
          </w:p>
        </w:tc>
      </w:tr>
      <w:tr>
        <w:trPr/>
        <w:tc>
          <w:tcPr>
            <w:tcW w:w="180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pPr>
            <w:r>
              <w:rPr/>
              <w:t>/s/ Ryan Carrithers</w:t>
            </w:r>
          </w:p>
        </w:tc>
      </w:tr>
      <w:tr>
        <w:trPr/>
        <w:tc>
          <w:tcPr>
            <w:tcW w:w="18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1895" w:type="dxa"/>
            <w:tcBorders/>
            <w:vAlign w:val="center"/>
          </w:tcPr>
          <w:p>
            <w:pPr>
              <w:pStyle w:val="TableContents"/>
              <w:bidi w:val="0"/>
              <w:spacing w:before="0" w:after="283"/>
              <w:jc w:val="left"/>
              <w:rPr>
                <w:sz w:val="20"/>
              </w:rPr>
            </w:pPr>
            <w:r>
              <w:rPr>
                <w:sz w:val="20"/>
              </w:rPr>
              <w:t>Ryan Carrithers</w:t>
            </w:r>
          </w:p>
        </w:tc>
      </w:tr>
      <w:tr>
        <w:trPr/>
        <w:tc>
          <w:tcPr>
            <w:tcW w:w="18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Title: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jc w:val="right"/>
        <w:rPr>
          <w:rFonts w:ascii="Times New Roman;Times;Serif" w:hAnsi="Times New Roman;Times;Serif"/>
          <w:b/>
          <w:i w:val="false"/>
          <w:caps w:val="false"/>
          <w:smallCaps w:val="false"/>
          <w:sz w:val="20"/>
        </w:rPr>
      </w:pPr>
      <w:bookmarkStart w:id="30" w:name="ea028257401ex2-2.htm"/>
      <w:bookmarkStart w:id="31" w:name="ksea028257401ex22"/>
      <w:bookmarkEnd w:id="30"/>
      <w:bookmarkEnd w:id="31"/>
      <w:r>
        <w:rPr>
          <w:rFonts w:ascii="Times New Roman;Times;Serif" w:hAnsi="Times New Roman;Times;Serif"/>
          <w:b/>
          <w:i w:val="false"/>
          <w:caps w:val="false"/>
          <w:smallCaps w:val="false"/>
          <w:sz w:val="20"/>
        </w:rPr>
        <w:t>Exhibit 2.2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NO. 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is made and entered into as of March 14, 2026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by and between Bleichroeder Acquisition Corp. I (now known as Merlin, Inc.), a former Cayman Islands exempted company which transferred by way of continuation and domesticated as a Delaware corporation on March 13, 2026) (the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and Merlin Labs,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Each of the foregoing will individually be referred to herein as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Capitalized terms used, but not otherwise defined herein, shall have the respective meanings assigned to such terms in the Agreement (as defined below).</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w:t>
      </w:r>
    </w:p>
    <w:p>
      <w:pPr>
        <w:pStyle w:val="TextBody"/>
        <w:bidi w:val="0"/>
        <w:spacing w:before="1" w:after="283"/>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and IPDX Merger Sub, Inc., a Delaware corporation and a direct wholly owned subsidiary of the Purchaser entered into that certain Business Combination Agreement, dated as of August 13, 2025 (as amended from time to time in accordance with its terms,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9.10 of the Agreement, the Agreement may be amended by execution of a written instrument signed by the Parties; and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amend the Agreement as set forth herein.</w:t>
      </w:r>
    </w:p>
    <w:p>
      <w:pPr>
        <w:pStyle w:val="TextBody"/>
        <w:bidi w:val="0"/>
        <w:spacing w:before="1" w:after="283"/>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promises and the representations and warranties set forth herein, and for other good and valuable consideration, the receipt and sufficiency of which are hereby acknowledged, the Parties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Amendment to Section 2.01</w:t>
      </w:r>
      <w:r>
        <w:rPr>
          <w:rFonts w:ascii="Times New Roman;Times;Serif" w:hAnsi="Times New Roman;Times;Serif"/>
          <w:b w:val="false"/>
          <w:i w:val="false"/>
          <w:caps w:val="false"/>
          <w:smallCaps w:val="false"/>
          <w:sz w:val="20"/>
        </w:rPr>
        <w:t>. Section 2.01 of the Agreement is hereby amended and restated in its entirety to read as follows:</w:t>
      </w:r>
    </w:p>
    <w:p>
      <w:pPr>
        <w:pStyle w:val="TextBody"/>
        <w:bidi w:val="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2.01 </w:t>
      </w:r>
      <w:r>
        <w:rPr>
          <w:rFonts w:ascii="Times New Roman;Times;Serif" w:hAnsi="Times New Roman;Times;Serif"/>
          <w:b/>
          <w:i w:val="false"/>
          <w:caps w:val="false"/>
          <w:smallCaps w:val="false"/>
          <w:sz w:val="20"/>
          <w:u w:val="single"/>
        </w:rPr>
        <w:t>Pre-Effective Time Conversions</w:t>
      </w:r>
      <w:r>
        <w:rPr>
          <w:rFonts w:ascii="Times New Roman;Times;Serif" w:hAnsi="Times New Roman;Times;Serif"/>
          <w:b w:val="false"/>
          <w:i w:val="false"/>
          <w:caps w:val="false"/>
          <w:smallCaps w:val="false"/>
          <w:sz w:val="20"/>
        </w:rPr>
        <w:t>. Immediately prior to the Effective Time:</w:t>
      </w:r>
    </w:p>
    <w:p>
      <w:pPr>
        <w:pStyle w:val="TextBody"/>
        <w:bidi w:val="0"/>
        <w:ind w:left="360" w:right="0" w:hanging="0"/>
        <w:jc w:val="left"/>
        <w:rPr>
          <w:caps w:val="false"/>
          <w:smallCaps w:val="false"/>
        </w:rPr>
      </w:pPr>
      <w:r>
        <w:rPr>
          <w:caps w:val="false"/>
          <w:smallCaps w:val="false"/>
        </w:rPr>
        <w:t> </w:t>
      </w:r>
    </w:p>
    <w:p>
      <w:pPr>
        <w:pStyle w:val="TextBody"/>
        <w:bidi w:val="0"/>
        <w:spacing w:before="1" w:after="283"/>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Company Convertible Security (other than the Pre-Funded Convertible Notes), that is outstanding immediately prior to the Effective Time (if any), including all principal and interest thereunder, to the extent applicable, shall automatically convert in full into shares of Company Preferred Stock or Company Common Stock, as applicable, in accordance with the terms thereof, such that immediately thereafter, all of the Company Convertible Securities (other than the Pre-Funded Convertible Notes) shall no longer be outstanding and shall cease to exist, and each holder of a Company Convertible Security (other than the Pre-Funded Convertible Notes) shall thereafter cease to have any rights with respect thereto;</w:t>
      </w:r>
    </w:p>
    <w:p>
      <w:pPr>
        <w:pStyle w:val="TextBody"/>
        <w:bidi w:val="0"/>
        <w:ind w:left="360" w:right="0" w:hanging="0"/>
        <w:jc w:val="left"/>
        <w:rPr>
          <w:caps w:val="false"/>
          <w:smallCaps w:val="false"/>
        </w:rPr>
      </w:pPr>
      <w:r>
        <w:rPr>
          <w:caps w:val="false"/>
          <w:smallCaps w:val="false"/>
        </w:rPr>
        <w:t> </w:t>
      </w:r>
    </w:p>
    <w:p>
      <w:pPr>
        <w:pStyle w:val="TextBody"/>
        <w:bidi w:val="0"/>
        <w:spacing w:before="1" w:after="283"/>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Warrant (other than the Company Pre-Funded Convertible Note Investor Warrants and the 2025 LSA Warrant) exercisable for Company Preferred Stock that is outstanding and unexercised immediately prior to the Effective Time shall automatically be exercised on a cashless basis in full in accordance with its terms or otherwise exercised in full, such that upon such exercise, all of the Company Warrants converted into Company Preferred Stock (other than the Company Pre-Funded Convertible Note Investor Warrants) shall no longer be outstanding and shall cease to exist, and each holder of Company Warrants (other than the Company Pre-Funded Convertible Note Investor Warrants) shall thereafter cease to have any rights with respect to such securities;</w:t>
      </w:r>
    </w:p>
    <w:p>
      <w:pPr>
        <w:pStyle w:val="TextBody"/>
        <w:bidi w:val="0"/>
        <w:spacing w:before="1" w:after="283"/>
        <w:ind w:left="1440" w:right="0" w:hanging="0"/>
        <w:jc w:val="both"/>
        <w:rPr>
          <w:caps w:val="false"/>
          <w:smallCaps w:val="false"/>
        </w:rPr>
      </w:pPr>
      <w:r>
        <w:rPr>
          <w:caps w:val="false"/>
          <w:smallCaps w:val="false"/>
        </w:rPr>
        <w:t> </w:t>
      </w:r>
    </w:p>
    <w:p>
      <w:pPr>
        <w:pStyle w:val="TextBody"/>
        <w:bidi w:val="0"/>
        <w:spacing w:before="1" w:after="283"/>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immediately after giving effect to the conversions and exercises set forth in </w:t>
      </w:r>
      <w:r>
        <w:rPr>
          <w:rFonts w:ascii="Times New Roman;Times;Serif" w:hAnsi="Times New Roman;Times;Serif"/>
          <w:b w:val="false"/>
          <w:i w:val="false"/>
          <w:caps w:val="false"/>
          <w:smallCaps w:val="false"/>
          <w:sz w:val="20"/>
          <w:u w:val="single"/>
        </w:rPr>
        <w:t>Sections 2.01(a)-(b)</w:t>
      </w:r>
      <w:r>
        <w:rPr>
          <w:rFonts w:ascii="Times New Roman;Times;Serif" w:hAnsi="Times New Roman;Times;Serif"/>
          <w:b w:val="false"/>
          <w:i w:val="false"/>
          <w:caps w:val="false"/>
          <w:smallCaps w:val="false"/>
          <w:sz w:val="20"/>
        </w:rPr>
        <w:t xml:space="preserve">, each issued and outstanding share of Company Preferred Stock (including each share of Company Preferred Stock issued upon the conversions and exercises described in </w:t>
      </w:r>
      <w:r>
        <w:rPr>
          <w:rFonts w:ascii="Times New Roman;Times;Serif" w:hAnsi="Times New Roman;Times;Serif"/>
          <w:b w:val="false"/>
          <w:i w:val="false"/>
          <w:caps w:val="false"/>
          <w:smallCaps w:val="false"/>
          <w:sz w:val="20"/>
          <w:u w:val="single"/>
        </w:rPr>
        <w:t>Sections 2.01(a)-(b)</w:t>
      </w:r>
      <w:r>
        <w:rPr>
          <w:rFonts w:ascii="Times New Roman;Times;Serif" w:hAnsi="Times New Roman;Times;Serif"/>
          <w:b w:val="false"/>
          <w:i w:val="false"/>
          <w:caps w:val="false"/>
          <w:smallCaps w:val="false"/>
          <w:sz w:val="20"/>
        </w:rPr>
        <w:t>) shall automatically convert into such number of shares of Company Common Stock into which such shares of Company Preferred Stock, as applicable, are convertible in connection with the Merger pursuant to the Company’s Organizational Documents, such that upon such conversion, all of the Company Preferred Stock converted into Company Common Stock shall no longer be outstanding and shall cease to exist, and each holder of Company Preferred Stock shall thereafter cease to have any rights with respect to such securities;</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ind w:left="0" w:right="0" w:hanging="0"/>
        <w:jc w:val="left"/>
        <w:rPr>
          <w:caps w:val="false"/>
          <w:smallCaps w:val="false"/>
        </w:rPr>
      </w:pPr>
      <w:r>
        <w:rPr>
          <w:caps w:val="false"/>
          <w:smallCaps w:val="false"/>
        </w:rPr>
        <w:t> </w:t>
      </w:r>
    </w:p>
    <w:p>
      <w:pPr>
        <w:pStyle w:val="TextBody"/>
        <w:bidi w:val="0"/>
        <w:spacing w:before="1" w:after="283"/>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Company Warrant (other than the Company Pre-Funded Convertible Note Investor Warrants and the 2025 LSA Warrant) exercisable for Company Common Stock that is outstanding and unexercised immediately prior to the Effective Time shall automatically be exercised on a cashless basis in full in accordance with its terms or otherwise exercised in full, such that upon such exercise, all of the Company Warrants (other than the Company Pre-Funded Convertible Note Investor Warrants) shall no longer be outstanding and shall cease to exist, and each holder of Company Warrants (other than the Company Pre-Funded Convertible Note Investor Warrants) shall thereafter cease to have any rights with respect to such securities;</w:t>
      </w:r>
    </w:p>
    <w:p>
      <w:pPr>
        <w:pStyle w:val="TextBody"/>
        <w:bidi w:val="0"/>
        <w:spacing w:before="1" w:after="283"/>
        <w:ind w:left="108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Amendment to Section 2.02</w:t>
      </w:r>
      <w:r>
        <w:rPr>
          <w:rFonts w:ascii="Times New Roman;Times;Serif" w:hAnsi="Times New Roman;Times;Serif"/>
          <w:b w:val="false"/>
          <w:i w:val="false"/>
          <w:caps w:val="false"/>
          <w:smallCaps w:val="false"/>
          <w:sz w:val="20"/>
        </w:rPr>
        <w:t>. Section 2.02 of the Agreement is hereby amended and restated in its entirety to read as follows:</w:t>
      </w:r>
    </w:p>
    <w:p>
      <w:pPr>
        <w:pStyle w:val="TextBody"/>
        <w:bidi w:val="0"/>
        <w:jc w:val="left"/>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2.02 </w:t>
      </w:r>
      <w:r>
        <w:rPr>
          <w:rFonts w:ascii="Times New Roman;Times;Serif" w:hAnsi="Times New Roman;Times;Serif"/>
          <w:b/>
          <w:i w:val="false"/>
          <w:caps w:val="false"/>
          <w:smallCaps w:val="false"/>
          <w:sz w:val="20"/>
          <w:u w:val="single"/>
        </w:rPr>
        <w:t>Consideration</w:t>
      </w:r>
      <w:r>
        <w:rPr>
          <w:rFonts w:ascii="Times New Roman;Times;Serif" w:hAnsi="Times New Roman;Times;Serif"/>
          <w:b w:val="false"/>
          <w:i w:val="false"/>
          <w:caps w:val="false"/>
          <w:smallCaps w:val="false"/>
          <w:sz w:val="20"/>
        </w:rPr>
        <w:t>.</w:t>
      </w:r>
    </w:p>
    <w:p>
      <w:pPr>
        <w:pStyle w:val="TextBody"/>
        <w:bidi w:val="0"/>
        <w:spacing w:before="1" w:after="283"/>
        <w:ind w:left="360" w:right="0" w:hanging="0"/>
        <w:jc w:val="left"/>
        <w:rPr>
          <w:caps w:val="false"/>
          <w:smallCaps w:val="false"/>
        </w:rPr>
      </w:pPr>
      <w:r>
        <w:rPr>
          <w:caps w:val="false"/>
          <w:smallCaps w:val="false"/>
        </w:rPr>
        <w:t> </w:t>
      </w:r>
    </w:p>
    <w:p>
      <w:pPr>
        <w:pStyle w:val="TextBody"/>
        <w:bidi w:val="0"/>
        <w:spacing w:before="1" w:after="283"/>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Pre-Funded Convertible Note Consideration</w:t>
      </w:r>
      <w:r>
        <w:rPr>
          <w:rFonts w:ascii="Times New Roman;Times;Serif" w:hAnsi="Times New Roman;Times;Serif"/>
          <w:b w:val="false"/>
          <w:i w:val="false"/>
          <w:caps w:val="false"/>
          <w:smallCaps w:val="false"/>
          <w:sz w:val="20"/>
        </w:rPr>
        <w:t>. The consideration to be paid in, or in connection with, the Merger to a holder of a Pre-Funded Convertible Note shall be a number of shares of Domesticated Purchaser Preferred Stock equal to the quotient, rounded up to the nearest whole share, of (i) the total outstanding principal and accrued and unpaid interest on each Pre-Funded Convertible Note as of one day prior to the Closing Date, divided by (ii) the Applicable Pre-Funded Convertible Note Conversion Price (the “</w:t>
      </w:r>
      <w:r>
        <w:rPr>
          <w:rFonts w:ascii="Times New Roman;Times;Serif" w:hAnsi="Times New Roman;Times;Serif"/>
          <w:b w:val="false"/>
          <w:i w:val="false"/>
          <w:caps w:val="false"/>
          <w:smallCaps w:val="false"/>
          <w:sz w:val="20"/>
          <w:u w:val="single"/>
        </w:rPr>
        <w:t>Convertible Note Consideration</w:t>
      </w:r>
      <w:r>
        <w:rPr>
          <w:rFonts w:ascii="Times New Roman;Times;Serif" w:hAnsi="Times New Roman;Times;Serif"/>
          <w:b w:val="false"/>
          <w:i w:val="false"/>
          <w:caps w:val="false"/>
          <w:smallCaps w:val="false"/>
          <w:sz w:val="20"/>
        </w:rPr>
        <w:t>”).</w:t>
      </w:r>
    </w:p>
    <w:p>
      <w:pPr>
        <w:pStyle w:val="TextBody"/>
        <w:bidi w:val="0"/>
        <w:spacing w:before="1" w:after="283"/>
        <w:ind w:left="1440" w:right="0" w:hanging="0"/>
        <w:jc w:val="both"/>
        <w:rPr>
          <w:caps w:val="false"/>
          <w:smallCaps w:val="false"/>
        </w:rPr>
      </w:pPr>
      <w:r>
        <w:rPr>
          <w:caps w:val="false"/>
          <w:smallCaps w:val="false"/>
        </w:rPr>
        <w:t> </w:t>
      </w:r>
    </w:p>
    <w:p>
      <w:pPr>
        <w:pStyle w:val="TextBody"/>
        <w:bidi w:val="0"/>
        <w:spacing w:before="1" w:after="283"/>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consideration to be paid in, or in connection with, the Merger to a holder in respect of each Company Pre-Funded Convertible Note Investor Warrant shall be one or more Domesticated Purchaser Series A Investor Warrants to purchase a number of shares of Domesticated Purchaser Common Stock (on otherwise the same terms as applicable to the Domesticated Purchaser Series A Investor Warrants issued to the Series A Preferred Stock Investors in the PIPE Investment) equal to the quotient of (i) the aggregate exercise price of such Company Pre-Funded Convertible Note Investor Warrant immediately prior to the Effective Time divided by (ii) $12.00 (the “</w:t>
      </w:r>
      <w:r>
        <w:rPr>
          <w:rFonts w:ascii="Times New Roman;Times;Serif" w:hAnsi="Times New Roman;Times;Serif"/>
          <w:b w:val="false"/>
          <w:i w:val="false"/>
          <w:caps w:val="false"/>
          <w:smallCaps w:val="false"/>
          <w:sz w:val="20"/>
          <w:u w:val="single"/>
        </w:rPr>
        <w:t>Pre-Funded Convertible Note Investor Warrant Consideration</w:t>
      </w:r>
      <w:r>
        <w:rPr>
          <w:rFonts w:ascii="Times New Roman;Times;Serif" w:hAnsi="Times New Roman;Times;Serif"/>
          <w:b w:val="false"/>
          <w:i w:val="false"/>
          <w:caps w:val="false"/>
          <w:smallCaps w:val="false"/>
          <w:sz w:val="20"/>
        </w:rPr>
        <w:t>”).</w:t>
      </w:r>
    </w:p>
    <w:p>
      <w:pPr>
        <w:pStyle w:val="TextBody"/>
        <w:bidi w:val="0"/>
        <w:ind w:left="360" w:right="0" w:hanging="0"/>
        <w:jc w:val="left"/>
        <w:rPr>
          <w:caps w:val="false"/>
          <w:smallCaps w:val="false"/>
        </w:rPr>
      </w:pPr>
      <w:r>
        <w:rPr>
          <w:caps w:val="false"/>
          <w:smallCaps w:val="false"/>
        </w:rPr>
        <w:t> </w:t>
      </w:r>
    </w:p>
    <w:p>
      <w:pPr>
        <w:pStyle w:val="TextBody"/>
        <w:bidi w:val="0"/>
        <w:spacing w:before="1" w:after="283"/>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WTI Consideration</w:t>
      </w:r>
      <w:r>
        <w:rPr>
          <w:rFonts w:ascii="Times New Roman;Times;Serif" w:hAnsi="Times New Roman;Times;Serif"/>
          <w:b w:val="false"/>
          <w:i w:val="false"/>
          <w:caps w:val="false"/>
          <w:smallCaps w:val="false"/>
          <w:sz w:val="20"/>
        </w:rPr>
        <w:t>. The consideration to be paid in connection with the Merger to WTI Fund X, LLC (“</w:t>
      </w:r>
      <w:r>
        <w:rPr>
          <w:rFonts w:ascii="Times New Roman;Times;Serif" w:hAnsi="Times New Roman;Times;Serif"/>
          <w:b w:val="false"/>
          <w:i w:val="false"/>
          <w:caps w:val="false"/>
          <w:smallCaps w:val="false"/>
          <w:sz w:val="20"/>
          <w:u w:val="single"/>
        </w:rPr>
        <w:t>WTI</w:t>
      </w:r>
      <w:r>
        <w:rPr>
          <w:rFonts w:ascii="Times New Roman;Times;Serif" w:hAnsi="Times New Roman;Times;Serif"/>
          <w:b w:val="false"/>
          <w:i w:val="false"/>
          <w:caps w:val="false"/>
          <w:smallCaps w:val="false"/>
          <w:sz w:val="20"/>
        </w:rPr>
        <w:t>”), holder of that certain Common Stock Purchase Warrant, dated as of August 14, 2025 (the “</w:t>
      </w:r>
      <w:r>
        <w:rPr>
          <w:rFonts w:ascii="Times New Roman;Times;Serif" w:hAnsi="Times New Roman;Times;Serif"/>
          <w:b w:val="false"/>
          <w:i w:val="false"/>
          <w:caps w:val="false"/>
          <w:smallCaps w:val="false"/>
          <w:sz w:val="20"/>
          <w:u w:val="single"/>
        </w:rPr>
        <w:t>2025 LSA Warrant</w:t>
      </w:r>
      <w:r>
        <w:rPr>
          <w:rFonts w:ascii="Times New Roman;Times;Serif" w:hAnsi="Times New Roman;Times;Serif"/>
          <w:b w:val="false"/>
          <w:i w:val="false"/>
          <w:caps w:val="false"/>
          <w:smallCaps w:val="false"/>
          <w:sz w:val="20"/>
        </w:rPr>
        <w:t xml:space="preserve">”) issued in connection with Amendment No. 1 to Loan Documents, dated as of July 1, 2025, by and between the Company and WTI, shall be (x) a number of shares of Domesticated Purchaser Preferred Stock equal to the quotient, rounded down to the nearest whole share, of (i) $5,000,000, divided by (ii) the Applicable Pre-Funded Convertible Note Conversion Price (the </w:t>
      </w:r>
      <w:r>
        <w:rPr>
          <w:rFonts w:ascii="Times New Roman;Times;Serif" w:hAnsi="Times New Roman;Times;Serif"/>
          <w:b w:val="false"/>
          <w:i w:val="false"/>
          <w:caps w:val="false"/>
          <w:smallCaps w:val="false"/>
          <w:sz w:val="20"/>
          <w:u w:val="single"/>
        </w:rPr>
        <w:t>“WTI Preferred Stock Consideration</w:t>
      </w:r>
      <w:r>
        <w:rPr>
          <w:rFonts w:ascii="Times New Roman;Times;Serif" w:hAnsi="Times New Roman;Times;Serif"/>
          <w:b w:val="false"/>
          <w:i w:val="false"/>
          <w:caps w:val="false"/>
          <w:smallCaps w:val="false"/>
          <w:sz w:val="20"/>
        </w:rPr>
        <w:t xml:space="preserve">”); and (y) one or more Domesticated Purchaser Series A Investor Warrants to purchase a number of shares of Domesticated Purchaser Common Stock (on otherwise the same terms as applicable to the Domesticated Purchaser Series A Investor Warrants issued to the Series A Preferred Stock Investors in the PIPE Investment) equal to the quotient, rounded up to the nearest whole share, of (i) $5,000,000, divided by (ii) the Applicable Pre-Funded Convertible Note Conversion Price (the </w:t>
      </w:r>
      <w:r>
        <w:rPr>
          <w:rFonts w:ascii="Times New Roman;Times;Serif" w:hAnsi="Times New Roman;Times;Serif"/>
          <w:b w:val="false"/>
          <w:i w:val="false"/>
          <w:caps w:val="false"/>
          <w:smallCaps w:val="false"/>
          <w:sz w:val="20"/>
          <w:u w:val="single"/>
        </w:rPr>
        <w:t>“WTI Warrant Consideration</w:t>
      </w:r>
      <w:r>
        <w:rPr>
          <w:rFonts w:ascii="Times New Roman;Times;Serif" w:hAnsi="Times New Roman;Times;Serif"/>
          <w:b w:val="false"/>
          <w:i w:val="false"/>
          <w:caps w:val="false"/>
          <w:smallCaps w:val="false"/>
          <w:sz w:val="20"/>
        </w:rPr>
        <w:t>” and together with the WTI Preferred Stock Consideration, the “</w:t>
      </w:r>
      <w:r>
        <w:rPr>
          <w:rFonts w:ascii="Times New Roman;Times;Serif" w:hAnsi="Times New Roman;Times;Serif"/>
          <w:b w:val="false"/>
          <w:i w:val="false"/>
          <w:caps w:val="false"/>
          <w:smallCaps w:val="false"/>
          <w:sz w:val="20"/>
          <w:u w:val="single"/>
        </w:rPr>
        <w:t>WTI Consideration</w:t>
      </w:r>
      <w:r>
        <w:rPr>
          <w:rFonts w:ascii="Times New Roman;Times;Serif" w:hAnsi="Times New Roman;Times;Serif"/>
          <w:b w:val="false"/>
          <w:i w:val="false"/>
          <w:caps w:val="false"/>
          <w:smallCaps w:val="false"/>
          <w:sz w:val="20"/>
        </w:rPr>
        <w:t>”).</w:t>
      </w:r>
    </w:p>
    <w:p>
      <w:pPr>
        <w:pStyle w:val="TextBody"/>
        <w:bidi w:val="0"/>
        <w:spacing w:before="1" w:after="283"/>
        <w:ind w:left="1440" w:right="0" w:hanging="0"/>
        <w:jc w:val="both"/>
        <w:rPr>
          <w:caps w:val="false"/>
          <w:smallCaps w:val="false"/>
        </w:rPr>
      </w:pPr>
      <w:r>
        <w:rPr>
          <w:caps w:val="false"/>
          <w:smallCaps w:val="false"/>
        </w:rPr>
        <w:t> </w:t>
      </w:r>
    </w:p>
    <w:p>
      <w:pPr>
        <w:pStyle w:val="TextBody"/>
        <w:bidi w:val="0"/>
        <w:spacing w:before="1" w:after="283"/>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aggregate consideration to be paid to holders of all other Company Securities (for the avoidance of doubt, other than the Pre-Funded Convertible Notes, the Company Pre-Funded Convertible Note Investor Warrants and the 2025 LSA Warrant) in, or in connection with, the Merger shall be the Aggregate Consideration.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Section 2.03(e)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Section 2.03 of the Agreement is hereby amended by adding the following Section 2.03(e):</w:t>
      </w:r>
    </w:p>
    <w:p>
      <w:pPr>
        <w:pStyle w:val="TextBody"/>
        <w:bidi w:val="0"/>
        <w:spacing w:before="69" w:after="283"/>
        <w:jc w:val="both"/>
        <w:rPr>
          <w:caps w:val="false"/>
          <w:smallCaps w:val="false"/>
        </w:rPr>
      </w:pPr>
      <w:r>
        <w:rPr>
          <w:caps w:val="false"/>
          <w:smallCaps w:val="false"/>
        </w:rPr>
        <w:t> </w:t>
      </w:r>
    </w:p>
    <w:p>
      <w:pPr>
        <w:pStyle w:val="TextBody"/>
        <w:bidi w:val="0"/>
        <w:spacing w:before="1" w:after="283"/>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Effect on 2025 LSA Warrant</w:t>
      </w:r>
      <w:r>
        <w:rPr>
          <w:rFonts w:ascii="Times New Roman;Times;Serif" w:hAnsi="Times New Roman;Times;Serif"/>
          <w:b w:val="false"/>
          <w:i w:val="false"/>
          <w:caps w:val="false"/>
          <w:smallCaps w:val="false"/>
          <w:sz w:val="20"/>
        </w:rPr>
        <w:t>. At the Effective Time, by virtue of the Merger and without any action on the part of the Purchaser, Merger Sub, the Company or WTI, the 2025 LSA Warrant held by WTI that is outstanding immediately prior to the Effective Time shall automatically be canceled and converted into the right to receive the WTI Consideration.</w:t>
      </w:r>
    </w:p>
    <w:p>
      <w:pPr>
        <w:pStyle w:val="TextBody"/>
        <w:bidi w:val="0"/>
        <w:spacing w:before="1" w:after="283"/>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Amendment to Section 6.14(a)</w:t>
      </w:r>
      <w:r>
        <w:rPr>
          <w:rFonts w:ascii="Times New Roman;Times;Serif" w:hAnsi="Times New Roman;Times;Serif"/>
          <w:b w:val="false"/>
          <w:i w:val="false"/>
          <w:caps w:val="false"/>
          <w:smallCaps w:val="false"/>
          <w:sz w:val="20"/>
        </w:rPr>
        <w:t>. Section 6.14(a) of the Agreement is hereby amended and restated in its entirety to read as follows:</w:t>
      </w:r>
    </w:p>
    <w:p>
      <w:pPr>
        <w:pStyle w:val="TextBody"/>
        <w:bidi w:val="0"/>
        <w:jc w:val="left"/>
        <w:rPr>
          <w:caps w:val="false"/>
          <w:smallCaps w:val="false"/>
        </w:rPr>
      </w:pPr>
      <w:r>
        <w:rPr>
          <w:caps w:val="false"/>
          <w:smallCaps w:val="false"/>
        </w:rPr>
        <w:t> </w:t>
      </w:r>
    </w:p>
    <w:p>
      <w:pPr>
        <w:pStyle w:val="TextBody"/>
        <w:bidi w:val="0"/>
        <w:spacing w:before="1" w:after="283"/>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Registration Statement and Prospectus</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 w:after="283"/>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promptly as practicable after the execution of this Agreement and receipt by the Purchaser of the PCAOB Financial Statements, the Updated 1H Financial Statements and any other audited or unaudited financial statements of the Target Companies that are required by applicable Law to be included in the Proxy Statement/Registration Statement, (x) the Purchaser and the Company shall jointly prepare and the Purchaser shall file with the SEC, mutually acceptable materials that shall include the proxy statement to be filed with the SEC as part of the Registration Statement and sent to the Purchaser Shareholders relating to the Purchaser Shareholders’ Meeting (such proxy statement, together with any amendments or supplements thereto,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and (y) the Purchaser shall prepare (with the Target Companies’ and their respective Representatives reasonable cooperation) and file with the SEC the Registration Statement, in which the Proxy Statement will be included as a prospectus (the “</w:t>
      </w:r>
      <w:r>
        <w:rPr>
          <w:rFonts w:ascii="Times New Roman;Times;Serif" w:hAnsi="Times New Roman;Times;Serif"/>
          <w:b w:val="false"/>
          <w:i w:val="false"/>
          <w:caps w:val="false"/>
          <w:smallCaps w:val="false"/>
          <w:sz w:val="20"/>
          <w:u w:val="single"/>
        </w:rPr>
        <w:t>Proxy Statement/Registration Statement</w:t>
      </w:r>
      <w:r>
        <w:rPr>
          <w:rFonts w:ascii="Times New Roman;Times;Serif" w:hAnsi="Times New Roman;Times;Serif"/>
          <w:b w:val="false"/>
          <w:i w:val="false"/>
          <w:caps w:val="false"/>
          <w:smallCaps w:val="false"/>
          <w:sz w:val="20"/>
        </w:rPr>
        <w:t>”), in connection with the registration under the Securities Act of (A) (x) the Domesticated Purchaser Units to be issued in exchange for the Cayman Purchaser Units, (y) the Domesticated Purchaser Rights to be issued in exchange for the Cayman Purchaser Rights and (z) the shares of Domesticated Purchaser Common Stock to be issued in exchange for (I) the issued and outstanding Purchaser Class A Ordinary Shares in the Domestication and (II) the Domesticated Purchaser Rights at the Effective Time, (B) the shares of Domesticated Purchaser Common Stock that constitute the Aggregate Consideration, (C) the shares of Domesticated Purchaser Series A Preferred Stock that constitute the Convertible Note Consideration and the WTI Preferred Stock Consideration, (D) the Domesticated Purchaser Series A Investor Warrants that constitute the Pre-Funded Convertible Note Investor Warrant Consideration and the WTI Warrant Consideration, (E) the shares of Domesticated Purchaser Common Stock issuable upon conversion of the Domesticated Purchaser Series A Preferred Stock that constitute the Convertible Note Consideration and the WTI Preferred Stock Consideration, (F) the shares of Domesticated Purchaser Common Stock issuable upon exercise of the Domesticated Purchaser Series A Investor Warrants that constitute the Pre-Funded Convertible Note Investor Warrant Consideration and the WTI Warrant Consideration, (G) the shares of Domesticated Purchaser Common Stock subject to the Purchaser Options, and (H) the shares of Domesticated Purchaser Common Stock subject to the Purchaser RSUs (if any) (collectively, the “</w:t>
      </w:r>
      <w:r>
        <w:rPr>
          <w:rFonts w:ascii="Times New Roman;Times;Serif" w:hAnsi="Times New Roman;Times;Serif"/>
          <w:b w:val="false"/>
          <w:i w:val="false"/>
          <w:caps w:val="false"/>
          <w:smallCaps w:val="false"/>
          <w:sz w:val="20"/>
          <w:u w:val="single"/>
        </w:rPr>
        <w:t>Registration Statement Securities</w:t>
      </w:r>
      <w:r>
        <w:rPr>
          <w:rFonts w:ascii="Times New Roman;Times;Serif" w:hAnsi="Times New Roman;Times;Serif"/>
          <w:b w:val="false"/>
          <w:i w:val="false"/>
          <w:caps w:val="false"/>
          <w:smallCaps w:val="false"/>
          <w:sz w:val="20"/>
        </w:rPr>
        <w:t>”). The filing fees payable to the SEC in connection with the Proxy Statement/Registration Statement will be split 50/50 by the Purchaser and the Company. Each of the Purchaser and the Company shall use its reasonable best efforts to cause the Proxy Statement/Registration Statement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contemplated hereby. The Purchaser also agrees to use its reasonable best efforts to obtain all necessary state securities law or “Blue Sky” permits and approvals required to carry out the transactions contemplated hereby, and the Company shall furnish all information concerning the Target Companies and any of their respective members or stockholders as may be reasonably requested in connection with any such action. Each of the Purchaser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Proxy Statement/Registration Statement, a Current Report on Form 8-K pursuant to the Exchange Act in connection with the transactions contemplated by this Agreement, or any other statement, filing, notice or application made by or on behalf of the Purchaser or the Target Companies to any regulatory authority (including the Nasdaq) in connection with the Transactions (the “</w:t>
      </w:r>
      <w:r>
        <w:rPr>
          <w:rFonts w:ascii="Times New Roman;Times;Serif" w:hAnsi="Times New Roman;Times;Serif"/>
          <w:b w:val="false"/>
          <w:i w:val="false"/>
          <w:caps w:val="false"/>
          <w:smallCaps w:val="false"/>
          <w:sz w:val="20"/>
          <w:u w:val="single"/>
        </w:rPr>
        <w:t>Offer Documents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Amendment to Article X</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Article X “Definitions” of the Agreement is hereby amended by adding the following defined term:</w:t>
      </w:r>
    </w:p>
    <w:p>
      <w:pPr>
        <w:pStyle w:val="TextBody"/>
        <w:bidi w:val="0"/>
        <w:jc w:val="left"/>
        <w:rPr>
          <w:caps w:val="false"/>
          <w:smallCaps w:val="false"/>
        </w:rPr>
      </w:pPr>
      <w:r>
        <w:rPr>
          <w:caps w:val="false"/>
          <w:smallCaps w:val="false"/>
        </w:rPr>
        <w:t> </w:t>
      </w:r>
    </w:p>
    <w:p>
      <w:pPr>
        <w:pStyle w:val="TextBody"/>
        <w:bidi w:val="0"/>
        <w:spacing w:before="1" w:after="283"/>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2025 LSA Warrant” has the meaning specified in Section 2.02(c).</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Counterparts; Electronic Delivery</w:t>
      </w:r>
      <w:r>
        <w:rPr>
          <w:rFonts w:ascii="Times New Roman;Times;Serif" w:hAnsi="Times New Roman;Times;Serif"/>
          <w:b w:val="false"/>
          <w:i w:val="false"/>
          <w:caps w:val="false"/>
          <w:smallCaps w:val="false"/>
          <w:sz w:val="20"/>
        </w:rPr>
        <w:t>. This Amendment may be executed in counterparts, all of which shall be considered one and the same document and shall become effective when such counterparts have been signed by each Party and delivered to the other Party, it being understood that all Parties need not sign the same counterpart. Delivery by electronic transmission to counsel for the other Party of a counterpart executed by a Party shall be deemed to meet the requirements of the previous sentence. The exchange of a fully executed Amendment (in counterparts or otherwise) in .pdf, docusign or similar format and transmitted by facsimile or email shall be sufficient to bind the Parties to the terms and conditions of this Amendment.</w:t>
      </w:r>
    </w:p>
    <w:p>
      <w:pPr>
        <w:pStyle w:val="TextBody"/>
        <w:bidi w:val="0"/>
        <w:spacing w:before="23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Effect of This Amendment</w:t>
      </w:r>
      <w:r>
        <w:rPr>
          <w:rFonts w:ascii="Times New Roman;Times;Serif" w:hAnsi="Times New Roman;Times;Serif"/>
          <w:b w:val="false"/>
          <w:i w:val="false"/>
          <w:caps w:val="false"/>
          <w:smallCaps w:val="false"/>
          <w:sz w:val="20"/>
        </w:rPr>
        <w:t>. This Amendment is made a part of the Agreement. Except as otherwise expressly provided herein, the Agreement is, and shall continue to be, in full force and effect and is hereby ratified and confirmed in all respects, except that on and after the date hereof all references in the Agreement to “this Agreement”, “hereto”, “hereof”, “hereunder” or words of like import referring to the Agreement shall mean the Agreement as amended by this Amendment. Any reference to the Agreement contained in any notice, request, certificate or other document executed concurrently with or after the execution and delivery of this Amendment shall be deemed to refer to the Agreement as modified by this Amendment unless the context shall otherwise require. For the avoidance of doubt, references to the phrases “the date of this Agreement” or “the date hereof”, wherever used in the Agreement, as amended by this Amendment, shall mean August 13, 2025.</w:t>
      </w:r>
    </w:p>
    <w:p>
      <w:pPr>
        <w:pStyle w:val="TextBody"/>
        <w:bidi w:val="0"/>
        <w:jc w:val="left"/>
        <w:rPr>
          <w:caps w:val="false"/>
          <w:smallCaps w:val="false"/>
        </w:rPr>
      </w:pPr>
      <w:r>
        <w:rPr>
          <w:caps w:val="false"/>
          <w:smallCaps w:val="false"/>
        </w:rPr>
        <w:t> </w:t>
      </w:r>
    </w:p>
    <w:p>
      <w:pPr>
        <w:pStyle w:val="TextBody"/>
        <w:bidi w:val="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Other Provisions.</w:t>
      </w:r>
      <w:r>
        <w:rPr>
          <w:rFonts w:ascii="Times New Roman;Times;Serif" w:hAnsi="Times New Roman;Times;Serif"/>
          <w:b w:val="false"/>
          <w:i w:val="false"/>
          <w:caps w:val="false"/>
          <w:smallCaps w:val="false"/>
          <w:sz w:val="20"/>
        </w:rPr>
        <w:t xml:space="preserve"> All other provisions of the Agreement not specifically amended by this Amendment shall remain in full force and effect. Section 9.03 (</w:t>
      </w:r>
      <w:r>
        <w:rPr>
          <w:rFonts w:ascii="Times New Roman;Times;Serif" w:hAnsi="Times New Roman;Times;Serif"/>
          <w:b w:val="false"/>
          <w:i/>
          <w:caps w:val="false"/>
          <w:smallCaps w:val="false"/>
          <w:sz w:val="20"/>
        </w:rPr>
        <w:t>Binding Effect; Assignment</w:t>
      </w:r>
      <w:r>
        <w:rPr>
          <w:rFonts w:ascii="Times New Roman;Times;Serif" w:hAnsi="Times New Roman;Times;Serif"/>
          <w:b w:val="false"/>
          <w:i w:val="false"/>
          <w:caps w:val="false"/>
          <w:smallCaps w:val="false"/>
          <w:sz w:val="20"/>
        </w:rPr>
        <w:t>), Section 9.05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Section 9.06 (</w:t>
      </w:r>
      <w:r>
        <w:rPr>
          <w:rFonts w:ascii="Times New Roman;Times;Serif" w:hAnsi="Times New Roman;Times;Serif"/>
          <w:b w:val="false"/>
          <w:i/>
          <w:caps w:val="false"/>
          <w:smallCaps w:val="false"/>
          <w:sz w:val="20"/>
        </w:rPr>
        <w:t>Jurisdiction</w:t>
      </w:r>
      <w:r>
        <w:rPr>
          <w:rFonts w:ascii="Times New Roman;Times;Serif" w:hAnsi="Times New Roman;Times;Serif"/>
          <w:b w:val="false"/>
          <w:i w:val="false"/>
          <w:caps w:val="false"/>
          <w:smallCaps w:val="false"/>
          <w:sz w:val="20"/>
        </w:rPr>
        <w:t>), Section 9.07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Section 9.09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Section 9.10 (</w:t>
      </w:r>
      <w:r>
        <w:rPr>
          <w:rFonts w:ascii="Times New Roman;Times;Serif" w:hAnsi="Times New Roman;Times;Serif"/>
          <w:b w:val="false"/>
          <w:i/>
          <w:caps w:val="false"/>
          <w:smallCaps w:val="false"/>
          <w:sz w:val="20"/>
        </w:rPr>
        <w:t>Amendment; Waiver</w:t>
      </w:r>
      <w:r>
        <w:rPr>
          <w:rFonts w:ascii="Times New Roman;Times;Serif" w:hAnsi="Times New Roman;Times;Serif"/>
          <w:b w:val="false"/>
          <w:i w:val="false"/>
          <w:caps w:val="false"/>
          <w:smallCaps w:val="false"/>
          <w:sz w:val="20"/>
        </w:rPr>
        <w:t>) and Section 9.12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xml:space="preserve">) of the Agreement are incorporated herein by reference and shall apply </w:t>
      </w:r>
      <w:r>
        <w:rPr>
          <w:rFonts w:ascii="Times New Roman;Times;Serif" w:hAnsi="Times New Roman;Times;Serif"/>
          <w:b w:val="false"/>
          <w:i/>
          <w:caps w:val="false"/>
          <w:smallCaps w:val="false"/>
          <w:sz w:val="20"/>
        </w:rPr>
        <w:t xml:space="preserve">mutatis mutandis </w:t>
      </w:r>
      <w:r>
        <w:rPr>
          <w:rFonts w:ascii="Times New Roman;Times;Serif" w:hAnsi="Times New Roman;Times;Serif"/>
          <w:b w:val="false"/>
          <w:i w:val="false"/>
          <w:caps w:val="false"/>
          <w:smallCaps w:val="false"/>
          <w:sz w:val="20"/>
        </w:rPr>
        <w:t>to this Amendment.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24" w:after="283"/>
        <w:ind w:left="0" w:right="0" w:hanging="0"/>
        <w:jc w:val="left"/>
        <w:rPr>
          <w:caps w:val="false"/>
          <w:smallCaps w:val="false"/>
        </w:rPr>
      </w:pPr>
      <w:r>
        <w:rPr>
          <w:caps w:val="false"/>
          <w:smallCaps w:val="false"/>
        </w:rPr>
        <w:t> </w:t>
      </w:r>
    </w:p>
    <w:p>
      <w:pPr>
        <w:pStyle w:val="TextBody"/>
        <w:bidi w:val="0"/>
        <w:spacing w:before="8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Party hereto has caused this Amendment to be executed as of the date first written above.</w:t>
      </w:r>
    </w:p>
    <w:p>
      <w:pPr>
        <w:pStyle w:val="TextBody"/>
        <w:bidi w:val="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710"/>
        <w:gridCol w:w="3635"/>
      </w:tblGrid>
      <w:tr>
        <w:trPr/>
        <w:tc>
          <w:tcPr>
            <w:tcW w:w="75" w:type="dxa"/>
            <w:tcBorders/>
            <w:vAlign w:val="center"/>
          </w:tcPr>
          <w:p>
            <w:pPr>
              <w:pStyle w:val="TableContents"/>
              <w:bidi w:val="0"/>
              <w:spacing w:before="0" w:after="283"/>
              <w:jc w:val="center"/>
              <w:rPr/>
            </w:pPr>
            <w:r>
              <w:rPr/>
              <w:t> </w:t>
            </w:r>
          </w:p>
        </w:tc>
        <w:tc>
          <w:tcPr>
            <w:tcW w:w="4345" w:type="dxa"/>
            <w:gridSpan w:val="2"/>
            <w:tcBorders/>
            <w:vAlign w:val="center"/>
          </w:tcPr>
          <w:p>
            <w:pPr>
              <w:pStyle w:val="TableContents"/>
              <w:bidi w:val="0"/>
              <w:spacing w:before="0" w:after="283"/>
              <w:jc w:val="left"/>
              <w:rPr>
                <w:i/>
                <w:sz w:val="20"/>
              </w:rPr>
            </w:pPr>
            <w:r>
              <w:rPr>
                <w:i/>
                <w:sz w:val="20"/>
                <w:u w:val="single"/>
              </w:rPr>
              <w:t>The Purchaser</w:t>
            </w:r>
            <w:r>
              <w:rPr>
                <w:i/>
                <w:sz w:val="20"/>
              </w:rPr>
              <w:t>:</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b/>
              </w:rPr>
            </w:pPr>
            <w:r>
              <w:rPr>
                <w:b/>
              </w:rPr>
              <w:t>MERLIN, INC.</w:t>
            </w:r>
          </w:p>
        </w:tc>
      </w:tr>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635" w:type="dxa"/>
            <w:tcBorders>
              <w:bottom w:val="single" w:sz="12" w:space="0" w:color="000000"/>
            </w:tcBorders>
            <w:tcMar>
              <w:bottom w:w="28" w:type="dxa"/>
            </w:tcMar>
            <w:vAlign w:val="center"/>
          </w:tcPr>
          <w:p>
            <w:pPr>
              <w:pStyle w:val="TableContents"/>
              <w:bidi w:val="0"/>
              <w:spacing w:before="0" w:after="283"/>
              <w:jc w:val="left"/>
              <w:rPr/>
            </w:pPr>
            <w:r>
              <w:rPr/>
              <w:t>/s/ Michael Blitzer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3635" w:type="dxa"/>
            <w:tcBorders/>
            <w:vAlign w:val="center"/>
          </w:tcPr>
          <w:p>
            <w:pPr>
              <w:pStyle w:val="TableContents"/>
              <w:bidi w:val="0"/>
              <w:spacing w:before="0" w:after="283"/>
              <w:jc w:val="left"/>
              <w:rPr/>
            </w:pPr>
            <w:r>
              <w:rPr/>
              <w:t>Michael Blitzer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President and Chief Executive Officer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i/>
                <w:sz w:val="20"/>
              </w:rPr>
            </w:pPr>
            <w:r>
              <w:rPr>
                <w:i/>
                <w:sz w:val="20"/>
                <w:u w:val="single"/>
              </w:rPr>
              <w:t>The Company</w:t>
            </w:r>
            <w:r>
              <w:rPr>
                <w:i/>
                <w:sz w:val="20"/>
              </w:rPr>
              <w:t>:</w:t>
            </w:r>
          </w:p>
        </w:tc>
      </w:tr>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b/>
              </w:rPr>
            </w:pPr>
            <w:r>
              <w:rPr>
                <w:b/>
              </w:rPr>
              <w:t>MERLIN LABS,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635" w:type="dxa"/>
            <w:tcBorders>
              <w:bottom w:val="single" w:sz="12" w:space="0" w:color="000000"/>
            </w:tcBorders>
            <w:tcMar>
              <w:bottom w:w="28" w:type="dxa"/>
            </w:tcMar>
            <w:vAlign w:val="center"/>
          </w:tcPr>
          <w:p>
            <w:pPr>
              <w:pStyle w:val="TableContents"/>
              <w:bidi w:val="0"/>
              <w:spacing w:before="0" w:after="283"/>
              <w:jc w:val="left"/>
              <w:rPr/>
            </w:pPr>
            <w:r>
              <w:rPr/>
              <w:t>/s/ Ryan Carrithers</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3635" w:type="dxa"/>
            <w:tcBorders/>
            <w:vAlign w:val="center"/>
          </w:tcPr>
          <w:p>
            <w:pPr>
              <w:pStyle w:val="TableContents"/>
              <w:bidi w:val="0"/>
              <w:spacing w:before="0" w:after="283"/>
              <w:jc w:val="left"/>
              <w:rPr/>
            </w:pPr>
            <w:r>
              <w:rPr/>
              <w:t>Ryan Carrithers</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Chief Financial Officer</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 No. 1 to Business Combination Agreement]</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ea028257401ex2-4.htm"/>
      <w:bookmarkStart w:id="33" w:name="ksea028257401ex24"/>
      <w:bookmarkEnd w:id="32"/>
      <w:bookmarkEnd w:id="3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left"/>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75"/>
        <w:gridCol w:w="4115"/>
      </w:tblGrid>
      <w:tr>
        <w:trPr/>
        <w:tc>
          <w:tcPr>
            <w:tcW w:w="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center"/>
              <w:rPr>
                <w:b/>
                <w:color w:val="0E0C1C"/>
              </w:rPr>
            </w:pPr>
            <w:r>
              <w:rPr>
                <w:b/>
                <w:color w:val="0E0C1C"/>
              </w:rPr>
              <w:t>State of Delaware</w:t>
            </w:r>
          </w:p>
        </w:tc>
      </w:tr>
      <w:tr>
        <w:trPr/>
        <w:tc>
          <w:tcPr>
            <w:tcW w:w="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center"/>
              <w:rPr>
                <w:b/>
                <w:color w:val="212123"/>
              </w:rPr>
            </w:pPr>
            <w:r>
              <w:rPr>
                <w:b/>
                <w:color w:val="212123"/>
              </w:rPr>
              <w:t>Secretary of State</w:t>
            </w:r>
          </w:p>
        </w:tc>
      </w:tr>
      <w:tr>
        <w:trPr/>
        <w:tc>
          <w:tcPr>
            <w:tcW w:w="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center"/>
              <w:rPr>
                <w:b/>
                <w:color w:val="212123"/>
              </w:rPr>
            </w:pPr>
            <w:r>
              <w:rPr>
                <w:b/>
                <w:color w:val="212123"/>
              </w:rPr>
              <w:t>Division of Corporations</w:t>
            </w:r>
          </w:p>
        </w:tc>
      </w:tr>
      <w:tr>
        <w:trPr/>
        <w:tc>
          <w:tcPr>
            <w:tcW w:w="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center"/>
              <w:rPr>
                <w:b/>
                <w:color w:val="212123"/>
              </w:rPr>
            </w:pPr>
            <w:r>
              <w:rPr>
                <w:b/>
                <w:color w:val="212123"/>
              </w:rPr>
              <w:t>Delivered 12:23PM 03/16/2026</w:t>
            </w:r>
          </w:p>
        </w:tc>
      </w:tr>
      <w:tr>
        <w:trPr/>
        <w:tc>
          <w:tcPr>
            <w:tcW w:w="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center"/>
              <w:rPr>
                <w:b/>
                <w:color w:val="34343B"/>
              </w:rPr>
            </w:pPr>
            <w:r>
              <w:rPr>
                <w:b/>
                <w:color w:val="34343B"/>
              </w:rPr>
              <w:t>FILED 12:23 PM 03/16/2026</w:t>
            </w:r>
          </w:p>
        </w:tc>
      </w:tr>
      <w:tr>
        <w:trPr/>
        <w:tc>
          <w:tcPr>
            <w:tcW w:w="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center"/>
              <w:rPr>
                <w:b/>
                <w:color w:val="34343B"/>
              </w:rPr>
            </w:pPr>
            <w:r>
              <w:rPr>
                <w:b/>
                <w:color w:val="34343B"/>
              </w:rPr>
              <w:t>SR 20261207691 - File Number 7094123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212123"/>
          <w:sz w:val="20"/>
        </w:rPr>
      </w:pPr>
      <w:r>
        <w:rPr>
          <w:rFonts w:ascii="Times New Roman;Times;Serif" w:hAnsi="Times New Roman;Times;Serif"/>
          <w:b/>
          <w:i w:val="false"/>
          <w:caps w:val="false"/>
          <w:smallCaps w:val="false"/>
          <w:color w:val="212123"/>
          <w:sz w:val="20"/>
        </w:rPr>
        <w:t xml:space="preserve">CERTIFICATE OF MERGER </w:t>
        <w:br/>
        <w:t>MERGING</w:t>
      </w:r>
    </w:p>
    <w:p>
      <w:pPr>
        <w:pStyle w:val="TextBody"/>
        <w:bidi w:val="0"/>
        <w:spacing w:before="0" w:after="0"/>
        <w:jc w:val="center"/>
        <w:rPr>
          <w:rFonts w:ascii="Times New Roman;Times;Serif" w:hAnsi="Times New Roman;Times;Serif"/>
          <w:b/>
          <w:i w:val="false"/>
          <w:caps w:val="false"/>
          <w:smallCaps w:val="false"/>
          <w:color w:val="212123"/>
          <w:sz w:val="20"/>
        </w:rPr>
      </w:pPr>
      <w:r>
        <w:rPr>
          <w:rFonts w:ascii="Times New Roman;Times;Serif" w:hAnsi="Times New Roman;Times;Serif"/>
          <w:b/>
          <w:i w:val="false"/>
          <w:caps w:val="false"/>
          <w:smallCaps w:val="false"/>
          <w:color w:val="212123"/>
          <w:sz w:val="20"/>
        </w:rPr>
        <w:t>IPDX MERGER SUB, INC.</w:t>
        <w:br/>
        <w:t>WITH AND INTO</w:t>
        <w:br/>
        <w:t>MERLIN LABS, INC.</w:t>
      </w:r>
    </w:p>
    <w:p>
      <w:pPr>
        <w:pStyle w:val="TextBody"/>
        <w:bidi w:val="0"/>
        <w:spacing w:before="0" w:after="0"/>
        <w:jc w:val="center"/>
        <w:rPr>
          <w:caps w:val="false"/>
          <w:smallCaps w:val="false"/>
          <w:color w:val="212123"/>
        </w:rPr>
      </w:pPr>
      <w:r>
        <w:rPr>
          <w:caps w:val="false"/>
          <w:smallCaps w:val="false"/>
          <w:color w:val="212123"/>
        </w:rPr>
        <w:t> </w:t>
      </w:r>
    </w:p>
    <w:p>
      <w:pPr>
        <w:pStyle w:val="TextBody"/>
        <w:bidi w:val="0"/>
        <w:spacing w:before="0" w:after="0"/>
        <w:jc w:val="center"/>
        <w:rPr>
          <w:rFonts w:ascii="Times New Roman;Times;Serif" w:hAnsi="Times New Roman;Times;Serif"/>
          <w:b/>
          <w:i w:val="false"/>
          <w:caps w:val="false"/>
          <w:smallCaps w:val="false"/>
          <w:color w:val="212123"/>
          <w:sz w:val="20"/>
        </w:rPr>
      </w:pPr>
      <w:r>
        <w:rPr>
          <w:rFonts w:ascii="Times New Roman;Times;Serif" w:hAnsi="Times New Roman;Times;Serif"/>
          <w:b/>
          <w:i w:val="false"/>
          <w:caps w:val="false"/>
          <w:smallCaps w:val="false"/>
          <w:color w:val="212123"/>
          <w:sz w:val="20"/>
        </w:rPr>
        <w:t>March 16, 2026</w:t>
      </w:r>
    </w:p>
    <w:p>
      <w:pPr>
        <w:pStyle w:val="TextBody"/>
        <w:bidi w:val="0"/>
        <w:spacing w:before="0" w:after="0"/>
        <w:ind w:left="355" w:right="0" w:firstLine="725"/>
        <w:jc w:val="both"/>
        <w:rPr>
          <w:caps w:val="false"/>
          <w:smallCaps w:val="false"/>
          <w:color w:val="212123"/>
        </w:rPr>
      </w:pPr>
      <w:r>
        <w:rPr>
          <w:caps w:val="false"/>
          <w:smallCaps w:val="false"/>
          <w:color w:val="212123"/>
        </w:rPr>
        <w:t> </w:t>
      </w:r>
    </w:p>
    <w:p>
      <w:pPr>
        <w:pStyle w:val="TextBody"/>
        <w:bidi w:val="0"/>
        <w:spacing w:before="0" w:after="0"/>
        <w:ind w:left="360" w:right="0" w:firstLine="360"/>
        <w:jc w:val="both"/>
        <w:rPr>
          <w:rFonts w:ascii="Times New Roman;Times;Serif" w:hAnsi="Times New Roman;Times;Serif"/>
          <w:b w:val="false"/>
          <w:i w:val="false"/>
          <w:caps w:val="false"/>
          <w:smallCaps w:val="false"/>
          <w:color w:val="212123"/>
          <w:sz w:val="20"/>
        </w:rPr>
      </w:pPr>
      <w:r>
        <w:rPr>
          <w:rFonts w:ascii="Times New Roman;Times;Serif" w:hAnsi="Times New Roman;Times;Serif"/>
          <w:b w:val="false"/>
          <w:i w:val="false"/>
          <w:caps w:val="false"/>
          <w:smallCaps w:val="false"/>
          <w:color w:val="212123"/>
          <w:sz w:val="20"/>
        </w:rPr>
        <w:t>Pursuant to Section 251 of the General Corporation Law of the State of Delaware (the “</w:t>
      </w:r>
      <w:r>
        <w:rPr>
          <w:rFonts w:ascii="Times New Roman;Times;Serif" w:hAnsi="Times New Roman;Times;Serif"/>
          <w:b/>
          <w:i w:val="false"/>
          <w:caps w:val="false"/>
          <w:smallCaps w:val="false"/>
          <w:color w:val="212123"/>
          <w:sz w:val="20"/>
        </w:rPr>
        <w:t>DGCL”</w:t>
      </w:r>
      <w:r>
        <w:rPr>
          <w:rFonts w:ascii="Times New Roman;Times;Serif" w:hAnsi="Times New Roman;Times;Serif"/>
          <w:b w:val="false"/>
          <w:i w:val="false"/>
          <w:caps w:val="false"/>
          <w:smallCaps w:val="false"/>
          <w:color w:val="212123"/>
          <w:sz w:val="20"/>
        </w:rPr>
        <w:t>), IPDX Merger Sub, Inc., a Delaware corporation, and Merlin Labs, Inc., a Delaware corporation, hereby certify as follows:</w:t>
      </w:r>
    </w:p>
    <w:p>
      <w:pPr>
        <w:pStyle w:val="TextBody"/>
        <w:bidi w:val="0"/>
        <w:spacing w:before="0" w:after="0"/>
        <w:ind w:left="1445" w:right="0" w:hanging="726"/>
        <w:jc w:val="both"/>
        <w:rPr>
          <w:caps w:val="false"/>
          <w:smallCaps w:val="false"/>
          <w:color w:val="212123"/>
        </w:rPr>
      </w:pPr>
      <w:r>
        <w:rPr>
          <w:caps w:val="false"/>
          <w:smallCaps w:val="false"/>
          <w:color w:val="212123"/>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1.</w:t>
            </w:r>
          </w:p>
        </w:tc>
        <w:tc>
          <w:tcPr>
            <w:tcW w:w="9990" w:type="dxa"/>
            <w:tcBorders/>
            <w:vAlign w:val="center"/>
          </w:tcPr>
          <w:p>
            <w:pPr>
              <w:pStyle w:val="TableContents"/>
              <w:bidi w:val="0"/>
              <w:spacing w:before="0" w:after="283"/>
              <w:jc w:val="both"/>
              <w:rPr/>
            </w:pPr>
            <w:r>
              <w:rPr/>
              <w:t>The names and jurisdictions of the constituent corporations are Merlin Labs, Inc., a Delaware corporation, and IPDX Merger Sub, Inc., a Delaware corporation.</w:t>
            </w:r>
          </w:p>
        </w:tc>
      </w:tr>
    </w:tbl>
    <w:p>
      <w:pPr>
        <w:pStyle w:val="TextBody"/>
        <w:bidi w:val="0"/>
        <w:spacing w:before="0" w:after="0"/>
        <w:ind w:left="1434" w:right="0" w:hanging="709"/>
        <w:jc w:val="both"/>
        <w:rPr>
          <w:caps w:val="false"/>
          <w:smallCaps w:val="false"/>
          <w:color w:val="212123"/>
        </w:rPr>
      </w:pPr>
      <w:r>
        <w:rPr>
          <w:caps w:val="false"/>
          <w:smallCaps w:val="false"/>
          <w:color w:val="212123"/>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2.</w:t>
            </w:r>
          </w:p>
        </w:tc>
        <w:tc>
          <w:tcPr>
            <w:tcW w:w="10002" w:type="dxa"/>
            <w:tcBorders/>
            <w:vAlign w:val="center"/>
          </w:tcPr>
          <w:p>
            <w:pPr>
              <w:pStyle w:val="TableContents"/>
              <w:bidi w:val="0"/>
              <w:spacing w:before="0" w:after="283"/>
              <w:jc w:val="both"/>
              <w:rPr/>
            </w:pPr>
            <w:r>
              <w:rPr/>
              <w:t>A Business Combination Agreement has been adopted, approved, executed, certified and acknowledged by each of the constituent corporations in accordance with Section 251 of the DGCL (the “</w:t>
            </w:r>
            <w:r>
              <w:rPr>
                <w:b/>
                <w:sz w:val="20"/>
              </w:rPr>
              <w:t>Business Combination Agreement”</w:t>
            </w:r>
            <w:r>
              <w:rPr>
                <w:sz w:val="20"/>
              </w:rPr>
              <w:t>).</w:t>
            </w:r>
          </w:p>
        </w:tc>
      </w:tr>
    </w:tbl>
    <w:p>
      <w:pPr>
        <w:pStyle w:val="TextBody"/>
        <w:bidi w:val="0"/>
        <w:spacing w:before="0" w:after="0"/>
        <w:ind w:left="1444" w:right="0" w:hanging="723"/>
        <w:jc w:val="both"/>
        <w:rPr>
          <w:caps w:val="false"/>
          <w:smallCaps w:val="false"/>
          <w:color w:val="212123"/>
        </w:rPr>
      </w:pPr>
      <w:r>
        <w:rPr>
          <w:caps w:val="false"/>
          <w:smallCaps w:val="false"/>
          <w:color w:val="212123"/>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color w:val="212123"/>
              </w:rPr>
            </w:pPr>
            <w:r>
              <w:rPr>
                <w:color w:val="212123"/>
              </w:rPr>
              <w:t>3.</w:t>
            </w:r>
          </w:p>
        </w:tc>
        <w:tc>
          <w:tcPr>
            <w:tcW w:w="9999" w:type="dxa"/>
            <w:tcBorders/>
            <w:vAlign w:val="center"/>
          </w:tcPr>
          <w:p>
            <w:pPr>
              <w:pStyle w:val="TableContents"/>
              <w:bidi w:val="0"/>
              <w:spacing w:before="0" w:after="283"/>
              <w:jc w:val="both"/>
              <w:rPr/>
            </w:pPr>
            <w:r>
              <w:rPr>
                <w:color w:val="212123"/>
              </w:rPr>
              <w:t>Merlin Labs, Inc. shall be the surviving corporation in the merger (the “</w:t>
            </w:r>
            <w:r>
              <w:rPr>
                <w:b/>
                <w:color w:val="212123"/>
                <w:sz w:val="20"/>
              </w:rPr>
              <w:t>Surviving Corporation”</w:t>
            </w:r>
            <w:r>
              <w:rPr>
                <w:color w:val="212123"/>
                <w:sz w:val="20"/>
              </w:rPr>
              <w:t>).</w:t>
            </w:r>
            <w:r>
              <w:rPr>
                <w:color w:val="212123"/>
              </w:rPr>
              <w:t xml:space="preserve"> The name of the Surviving Corporation following the Effective </w:t>
            </w:r>
            <w:r>
              <w:rPr>
                <w:color w:val="34343B"/>
              </w:rPr>
              <w:t>Time</w:t>
            </w:r>
            <w:r>
              <w:rPr/>
              <w:t xml:space="preserve"> </w:t>
            </w:r>
            <w:r>
              <w:rPr>
                <w:color w:val="212123"/>
              </w:rPr>
              <w:t>(as defined below) shall be Merlin Labs, Inc.</w:t>
            </w:r>
          </w:p>
        </w:tc>
      </w:tr>
    </w:tbl>
    <w:p>
      <w:pPr>
        <w:pStyle w:val="TextBody"/>
        <w:bidi w:val="0"/>
        <w:spacing w:before="0" w:after="0"/>
        <w:ind w:left="1436" w:right="0" w:hanging="724"/>
        <w:jc w:val="both"/>
        <w:rPr>
          <w:caps w:val="false"/>
          <w:smallCaps w:val="false"/>
          <w:color w:val="212123"/>
        </w:rPr>
      </w:pPr>
      <w:r>
        <w:rPr>
          <w:caps w:val="false"/>
          <w:smallCaps w:val="false"/>
          <w:color w:val="212123"/>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4.</w:t>
            </w:r>
          </w:p>
        </w:tc>
        <w:tc>
          <w:tcPr>
            <w:tcW w:w="9995" w:type="dxa"/>
            <w:tcBorders/>
            <w:vAlign w:val="center"/>
          </w:tcPr>
          <w:p>
            <w:pPr>
              <w:pStyle w:val="TableContents"/>
              <w:bidi w:val="0"/>
              <w:spacing w:before="0" w:after="283"/>
              <w:jc w:val="both"/>
              <w:rPr/>
            </w:pPr>
            <w:r>
              <w:rPr/>
              <w:t xml:space="preserve">The certificate of incorporation of the Surviving Corporation is amended and restated as of the Effective Time to read in its entirety as set forth on </w:t>
            </w:r>
            <w:r>
              <w:rPr>
                <w:b/>
                <w:sz w:val="20"/>
                <w:u w:val="single"/>
              </w:rPr>
              <w:t>Annex A</w:t>
            </w:r>
            <w:r>
              <w:rPr/>
              <w:t xml:space="preserve"> to this certificate of merger.</w:t>
            </w:r>
          </w:p>
        </w:tc>
      </w:tr>
    </w:tbl>
    <w:p>
      <w:pPr>
        <w:pStyle w:val="TextBody"/>
        <w:bidi w:val="0"/>
        <w:spacing w:before="0" w:after="0"/>
        <w:ind w:left="1439" w:right="0" w:hanging="719"/>
        <w:jc w:val="both"/>
        <w:rPr>
          <w:caps w:val="false"/>
          <w:smallCaps w:val="false"/>
          <w:color w:val="212123"/>
        </w:rPr>
      </w:pPr>
      <w:r>
        <w:rPr>
          <w:caps w:val="false"/>
          <w:smallCaps w:val="false"/>
          <w:color w:val="212123"/>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color w:val="212123"/>
              </w:rPr>
            </w:pPr>
            <w:r>
              <w:rPr>
                <w:color w:val="212123"/>
              </w:rPr>
              <w:t>5.</w:t>
            </w:r>
          </w:p>
        </w:tc>
        <w:tc>
          <w:tcPr>
            <w:tcW w:w="9992" w:type="dxa"/>
            <w:tcBorders/>
            <w:vAlign w:val="center"/>
          </w:tcPr>
          <w:p>
            <w:pPr>
              <w:pStyle w:val="TableContents"/>
              <w:bidi w:val="0"/>
              <w:spacing w:before="0" w:after="283"/>
              <w:jc w:val="both"/>
              <w:rPr/>
            </w:pPr>
            <w:r>
              <w:rPr>
                <w:color w:val="212123"/>
              </w:rPr>
              <w:t xml:space="preserve">The Business Combination Agreement is on file at the principal place of business of the Surviving Corporation, located at </w:t>
            </w:r>
            <w:r>
              <w:rPr>
                <w:color w:val="34343B"/>
              </w:rPr>
              <w:t xml:space="preserve">129 </w:t>
            </w:r>
            <w:r>
              <w:rPr>
                <w:color w:val="212123"/>
              </w:rPr>
              <w:t>South Street, Boston, Massachusetts 02111.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6.</w:t>
            </w:r>
          </w:p>
        </w:tc>
        <w:tc>
          <w:tcPr>
            <w:tcW w:w="9994" w:type="dxa"/>
            <w:tcBorders/>
            <w:vAlign w:val="center"/>
          </w:tcPr>
          <w:p>
            <w:pPr>
              <w:pStyle w:val="TableContents"/>
              <w:bidi w:val="0"/>
              <w:spacing w:before="0" w:after="283"/>
              <w:jc w:val="both"/>
              <w:rPr/>
            </w:pPr>
            <w:r>
              <w:rPr/>
              <w:t>A copy of the Business Combination Agreement will be furnished by the Surviving Corporation on request, and without cost, to any stockholder of the constituent corporations.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7.</w:t>
            </w:r>
          </w:p>
        </w:tc>
        <w:tc>
          <w:tcPr>
            <w:tcW w:w="9986" w:type="dxa"/>
            <w:tcBorders/>
            <w:vAlign w:val="center"/>
          </w:tcPr>
          <w:p>
            <w:pPr>
              <w:pStyle w:val="TableContents"/>
              <w:bidi w:val="0"/>
              <w:spacing w:before="0" w:after="283"/>
              <w:jc w:val="both"/>
              <w:rPr/>
            </w:pPr>
            <w:r>
              <w:rPr/>
              <w:t>The merger is to be effective at the time of filing of this certificate of merger with the Secretary of State of the State of Delaware (the “</w:t>
            </w:r>
            <w:r>
              <w:rPr>
                <w:b/>
                <w:sz w:val="20"/>
              </w:rPr>
              <w:t>Effective Time”</w:t>
            </w:r>
            <w:r>
              <w:rPr>
                <w:sz w:val="20"/>
              </w:rPr>
              <w:t>).</w:t>
            </w:r>
          </w:p>
        </w:tc>
      </w:tr>
    </w:tbl>
    <w:p>
      <w:pPr>
        <w:pStyle w:val="TextBody"/>
        <w:bidi w:val="0"/>
        <w:spacing w:before="0" w:after="0"/>
        <w:ind w:left="3536" w:right="0" w:hanging="0"/>
        <w:jc w:val="center"/>
        <w:rPr>
          <w:caps w:val="false"/>
          <w:smallCaps w:val="false"/>
          <w:color w:val="212123"/>
        </w:rPr>
      </w:pPr>
      <w:r>
        <w:rPr>
          <w:caps w:val="false"/>
          <w:smallCaps w:val="false"/>
          <w:color w:val="212123"/>
        </w:rPr>
        <w:t> </w:t>
      </w:r>
    </w:p>
    <w:p>
      <w:pPr>
        <w:pStyle w:val="TextBody"/>
        <w:bidi w:val="0"/>
        <w:spacing w:before="0" w:after="0"/>
        <w:jc w:val="center"/>
        <w:rPr>
          <w:rFonts w:ascii="Times New Roman;Times;Serif" w:hAnsi="Times New Roman;Times;Serif"/>
          <w:b w:val="false"/>
          <w:i/>
          <w:caps w:val="false"/>
          <w:smallCaps w:val="false"/>
          <w:color w:val="212123"/>
          <w:sz w:val="20"/>
        </w:rPr>
      </w:pPr>
      <w:r>
        <w:rPr>
          <w:rFonts w:ascii="Times New Roman;Times;Serif" w:hAnsi="Times New Roman;Times;Serif"/>
          <w:b w:val="false"/>
          <w:i/>
          <w:caps w:val="false"/>
          <w:smallCaps w:val="false"/>
          <w:color w:val="212123"/>
          <w:sz w:val="20"/>
        </w:rPr>
        <w:t>[signature page follows]</w:t>
      </w:r>
    </w:p>
    <w:p>
      <w:pPr>
        <w:pStyle w:val="TextBody"/>
        <w:bidi w:val="0"/>
        <w:spacing w:before="0" w:after="0"/>
        <w:ind w:left="3536" w:right="0" w:hanging="0"/>
        <w:jc w:val="center"/>
        <w:rPr>
          <w:caps w:val="false"/>
          <w:smallCaps w:val="false"/>
          <w:color w:val="212123"/>
        </w:rPr>
      </w:pPr>
      <w:r>
        <w:rPr>
          <w:caps w:val="false"/>
          <w:smallCaps w:val="false"/>
          <w:color w:val="212123"/>
        </w:rPr>
        <w:t> </w:t>
      </w:r>
    </w:p>
    <w:p>
      <w:pPr>
        <w:pStyle w:val="TextBody"/>
        <w:bidi w:val="0"/>
        <w:spacing w:before="0" w:after="0"/>
        <w:ind w:left="0" w:right="0" w:hanging="0"/>
        <w:jc w:val="left"/>
        <w:rPr/>
      </w:pPr>
      <w:r>
        <w:rPr/>
        <w:t> </w:t>
      </w:r>
    </w:p>
    <w:p>
      <w:pPr>
        <w:pStyle w:val="TextBody"/>
        <w:bidi w:val="0"/>
        <w:spacing w:before="0" w:after="0"/>
        <w:ind w:left="3536" w:right="0" w:hanging="0"/>
        <w:jc w:val="center"/>
        <w:rPr>
          <w:caps w:val="false"/>
          <w:smallCaps w:val="false"/>
          <w:color w:val="212123"/>
        </w:rPr>
      </w:pPr>
      <w:r>
        <w:rPr>
          <w:caps w:val="false"/>
          <w:smallCaps w:val="false"/>
          <w:color w:val="212123"/>
        </w:rPr>
        <w:t> </w:t>
      </w:r>
    </w:p>
    <w:p>
      <w:pPr>
        <w:pStyle w:val="TextBody"/>
        <w:bidi w:val="0"/>
        <w:spacing w:before="0" w:after="0"/>
        <w:ind w:left="360" w:right="0" w:firstLine="360"/>
        <w:jc w:val="both"/>
        <w:rPr>
          <w:rFonts w:ascii="Times New Roman;Times;Serif" w:hAnsi="Times New Roman;Times;Serif"/>
          <w:b w:val="false"/>
          <w:i w:val="false"/>
          <w:caps w:val="false"/>
          <w:smallCaps w:val="false"/>
          <w:color w:val="212123"/>
          <w:sz w:val="20"/>
        </w:rPr>
      </w:pPr>
      <w:r>
        <w:rPr>
          <w:rFonts w:ascii="Times New Roman;Times;Serif" w:hAnsi="Times New Roman;Times;Serif"/>
          <w:b w:val="false"/>
          <w:i w:val="false"/>
          <w:caps w:val="false"/>
          <w:smallCaps w:val="false"/>
          <w:color w:val="212123"/>
          <w:sz w:val="20"/>
        </w:rPr>
        <w:t>IN WITNESS WHEREOF, each of the constituent corporations has caused this certificate of merger to be signed by an authorized officer as of the date first above written.</w:t>
      </w:r>
    </w:p>
    <w:p>
      <w:pPr>
        <w:pStyle w:val="TextBody"/>
        <w:bidi w:val="0"/>
        <w:spacing w:before="0" w:after="0"/>
        <w:ind w:left="360" w:right="0" w:firstLine="360"/>
        <w:jc w:val="both"/>
        <w:rPr>
          <w:caps w:val="false"/>
          <w:smallCaps w:val="false"/>
          <w:color w:val="212123"/>
        </w:rPr>
      </w:pPr>
      <w:r>
        <w:rPr>
          <w:caps w:val="false"/>
          <w:smallCaps w:val="false"/>
          <w:color w:val="212123"/>
        </w:rPr>
        <w:t> </w:t>
      </w:r>
    </w:p>
    <w:tbl>
      <w:tblPr>
        <w:tblW w:w="4725" w:type="dxa"/>
        <w:jc w:val="left"/>
        <w:tblInd w:w="0" w:type="dxa"/>
        <w:tblLayout w:type="fixed"/>
        <w:tblCellMar>
          <w:top w:w="0" w:type="dxa"/>
          <w:left w:w="0" w:type="dxa"/>
          <w:bottom w:w="0" w:type="dxa"/>
          <w:right w:w="0" w:type="dxa"/>
        </w:tblCellMar>
      </w:tblPr>
      <w:tblGrid>
        <w:gridCol w:w="75"/>
        <w:gridCol w:w="365"/>
        <w:gridCol w:w="650"/>
        <w:gridCol w:w="3635"/>
      </w:tblGrid>
      <w:tr>
        <w:trPr/>
        <w:tc>
          <w:tcPr>
            <w:tcW w:w="75" w:type="dxa"/>
            <w:tcBorders/>
            <w:vAlign w:val="center"/>
          </w:tcPr>
          <w:p>
            <w:pPr>
              <w:pStyle w:val="TableContents"/>
              <w:bidi w:val="0"/>
              <w:spacing w:before="0" w:after="283"/>
              <w:jc w:val="left"/>
              <w:rPr/>
            </w:pPr>
            <w:r>
              <w:rPr/>
              <w:t> </w:t>
            </w:r>
          </w:p>
        </w:tc>
        <w:tc>
          <w:tcPr>
            <w:tcW w:w="4650" w:type="dxa"/>
            <w:gridSpan w:val="3"/>
            <w:tcBorders/>
            <w:vAlign w:val="center"/>
          </w:tcPr>
          <w:p>
            <w:pPr>
              <w:pStyle w:val="TableContents"/>
              <w:bidi w:val="0"/>
              <w:spacing w:before="0" w:after="283"/>
              <w:jc w:val="left"/>
              <w:rPr>
                <w:b/>
              </w:rPr>
            </w:pPr>
            <w:r>
              <w:rPr>
                <w:b/>
              </w:rPr>
              <w:t>IPDX MERGER SUB, INC.</w:t>
            </w:r>
          </w:p>
        </w:tc>
      </w:tr>
      <w:tr>
        <w:trPr/>
        <w:tc>
          <w:tcPr>
            <w:tcW w:w="75" w:type="dxa"/>
            <w:tcBorders/>
            <w:vAlign w:val="center"/>
          </w:tcPr>
          <w:p>
            <w:pPr>
              <w:pStyle w:val="TableContents"/>
              <w:bidi w:val="0"/>
              <w:spacing w:before="0" w:after="283"/>
              <w:jc w:val="left"/>
              <w:rPr/>
            </w:pPr>
            <w:r>
              <w:rPr/>
              <w:t> </w:t>
            </w:r>
          </w:p>
        </w:tc>
        <w:tc>
          <w:tcPr>
            <w:tcW w:w="465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By:</w:t>
            </w:r>
          </w:p>
        </w:tc>
        <w:tc>
          <w:tcPr>
            <w:tcW w:w="4285" w:type="dxa"/>
            <w:gridSpan w:val="2"/>
            <w:tcBorders>
              <w:bottom w:val="single" w:sz="12" w:space="0" w:color="000000"/>
            </w:tcBorders>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/s/ Michael Blitzer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Name:</w:t>
            </w:r>
          </w:p>
        </w:tc>
        <w:tc>
          <w:tcPr>
            <w:tcW w:w="363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Michael Blitzer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President and Chief Executive Officer</w:t>
            </w:r>
          </w:p>
        </w:tc>
      </w:tr>
      <w:tr>
        <w:trPr/>
        <w:tc>
          <w:tcPr>
            <w:tcW w:w="75" w:type="dxa"/>
            <w:tcBorders/>
            <w:vAlign w:val="center"/>
          </w:tcPr>
          <w:p>
            <w:pPr>
              <w:pStyle w:val="TableContents"/>
              <w:bidi w:val="0"/>
              <w:spacing w:before="0" w:after="283"/>
              <w:jc w:val="left"/>
              <w:rPr/>
            </w:pPr>
            <w:r>
              <w:rPr/>
              <w:t> </w:t>
            </w:r>
          </w:p>
        </w:tc>
        <w:tc>
          <w:tcPr>
            <w:tcW w:w="465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0" w:type="dxa"/>
            <w:gridSpan w:val="3"/>
            <w:tcBorders/>
            <w:vAlign w:val="center"/>
          </w:tcPr>
          <w:p>
            <w:pPr>
              <w:pStyle w:val="TableContents"/>
              <w:bidi w:val="0"/>
              <w:spacing w:before="0" w:after="283"/>
              <w:jc w:val="left"/>
              <w:rPr>
                <w:b/>
              </w:rPr>
            </w:pPr>
            <w:r>
              <w:rPr>
                <w:b/>
              </w:rPr>
              <w:t>MERLIN LABS, INC.</w:t>
            </w:r>
          </w:p>
        </w:tc>
      </w:tr>
      <w:tr>
        <w:trPr/>
        <w:tc>
          <w:tcPr>
            <w:tcW w:w="75" w:type="dxa"/>
            <w:tcBorders/>
            <w:vAlign w:val="center"/>
          </w:tcPr>
          <w:p>
            <w:pPr>
              <w:pStyle w:val="TableContents"/>
              <w:bidi w:val="0"/>
              <w:spacing w:before="0" w:after="283"/>
              <w:jc w:val="left"/>
              <w:rPr/>
            </w:pPr>
            <w:r>
              <w:rPr/>
              <w:t> </w:t>
            </w:r>
          </w:p>
        </w:tc>
        <w:tc>
          <w:tcPr>
            <w:tcW w:w="465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By:</w:t>
            </w:r>
          </w:p>
        </w:tc>
        <w:tc>
          <w:tcPr>
            <w:tcW w:w="4285" w:type="dxa"/>
            <w:gridSpan w:val="2"/>
            <w:tcBorders>
              <w:bottom w:val="single" w:sz="12" w:space="0" w:color="000000"/>
            </w:tcBorders>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/s/ Ryan Carrithers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Name:</w:t>
            </w:r>
          </w:p>
        </w:tc>
        <w:tc>
          <w:tcPr>
            <w:tcW w:w="363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Ryan Carrithers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5141"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AMENDED AND RESTATED </w:t>
        <w:br/>
        <w:t xml:space="preserve">CERTIFICATE OF INCORPORATION </w:t>
        <w:b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9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Merlin Labs,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353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1" w:right="0" w:firstLine="7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Corporation’s registered office in the State of Delaware is 251 Little Falls Drive, in the city of Wilmington, County of New Castle 19808-1674. The name of the Corporation’s registered agent at such address is Corporation Service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72" w:right="0" w:firstLine="724"/>
        <w:jc w:val="both"/>
        <w:rPr>
          <w:caps w:val="false"/>
          <w:smallCaps w:val="false"/>
        </w:rPr>
      </w:pPr>
      <w:r>
        <w:rPr>
          <w:caps w:val="false"/>
          <w:smallCaps w:val="false"/>
        </w:rPr>
        <w:t> </w:t>
      </w:r>
    </w:p>
    <w:p>
      <w:pPr>
        <w:pStyle w:val="TextBody"/>
        <w:bidi w:val="0"/>
        <w:spacing w:before="0" w:after="0"/>
        <w:ind w:left="72"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Corporation is to engage in any lawful act or activity for which corporations may be organized under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as the same exists or as may hereafter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72" w:right="0" w:firstLine="724"/>
        <w:jc w:val="both"/>
        <w:rPr>
          <w:caps w:val="false"/>
          <w:smallCaps w:val="false"/>
        </w:rPr>
      </w:pPr>
      <w:r>
        <w:rPr>
          <w:caps w:val="false"/>
          <w:smallCaps w:val="false"/>
        </w:rPr>
        <w:t> </w:t>
      </w:r>
    </w:p>
    <w:p>
      <w:pPr>
        <w:pStyle w:val="TextBody"/>
        <w:bidi w:val="0"/>
        <w:spacing w:before="0" w:after="0"/>
        <w:ind w:left="72"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have the authority to issue a total of 1,000 shares of common stock, with a par value of $0.001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73" w:right="0" w:firstLine="721"/>
        <w:jc w:val="both"/>
        <w:rPr>
          <w:caps w:val="false"/>
          <w:smallCaps w:val="false"/>
        </w:rPr>
      </w:pPr>
      <w:r>
        <w:rPr>
          <w:caps w:val="false"/>
          <w:smallCaps w:val="false"/>
        </w:rPr>
        <w:t> </w:t>
      </w:r>
    </w:p>
    <w:p>
      <w:pPr>
        <w:pStyle w:val="TextBody"/>
        <w:bidi w:val="0"/>
        <w:spacing w:before="0" w:after="0"/>
        <w:ind w:left="73"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otherwise in the bylaws of the Corporation, elections of directors need not be by written ballot.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73" w:right="0" w:firstLine="724"/>
        <w:jc w:val="both"/>
        <w:rPr>
          <w:caps w:val="false"/>
          <w:smallCaps w:val="false"/>
        </w:rPr>
      </w:pPr>
      <w:r>
        <w:rPr>
          <w:caps w:val="false"/>
          <w:smallCaps w:val="false"/>
        </w:rPr>
        <w:t> </w:t>
      </w:r>
    </w:p>
    <w:p>
      <w:pPr>
        <w:pStyle w:val="TextBody"/>
        <w:bidi w:val="0"/>
        <w:spacing w:before="0" w:after="0"/>
        <w:ind w:left="73"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by statute, the board of directors of the Corporation is expressly authorized to make, alter, amend or repeal the bylaws of the Corporation.</w:t>
      </w:r>
    </w:p>
    <w:p>
      <w:pPr>
        <w:pStyle w:val="TextBody"/>
        <w:bidi w:val="0"/>
        <w:spacing w:before="0" w:after="0"/>
        <w:ind w:left="353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73" w:right="0" w:firstLine="723"/>
        <w:jc w:val="both"/>
        <w:rPr>
          <w:caps w:val="false"/>
          <w:smallCaps w:val="false"/>
        </w:rPr>
      </w:pPr>
      <w:r>
        <w:rPr>
          <w:caps w:val="false"/>
          <w:smallCaps w:val="false"/>
        </w:rPr>
        <w:t> </w:t>
      </w:r>
    </w:p>
    <w:p>
      <w:pPr>
        <w:pStyle w:val="TextBody"/>
        <w:bidi w:val="0"/>
        <w:spacing w:before="0" w:after="0"/>
        <w:ind w:left="73"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have the right, subject to any express provisions or restrictions contained in this Certificate of Incorporation or the bylaws of the Corporation, from time to time, to amend, alter, or repeal any provision of this Certificate of Incorporation in any manner now or hereafter provided by law, and all rights and powers of any kind conferred upon a director or stockholder of the Corporation by this Certificate of Incorporation or any amendment thereof are conferred subject to such right.</w:t>
      </w:r>
    </w:p>
    <w:p>
      <w:pPr>
        <w:pStyle w:val="TextBody"/>
        <w:bidi w:val="0"/>
        <w:spacing w:before="0" w:after="0"/>
        <w:ind w:left="3536" w:right="0" w:hanging="0"/>
        <w:jc w:val="center"/>
        <w:rPr>
          <w:caps w:val="false"/>
          <w:smallCaps w:val="false"/>
        </w:rPr>
      </w:pPr>
      <w:r>
        <w:rPr>
          <w:caps w:val="false"/>
          <w:smallCaps w:val="false"/>
        </w:rPr>
        <w:t> </w:t>
      </w:r>
    </w:p>
    <w:p>
      <w:pPr>
        <w:pStyle w:val="TextBody"/>
        <w:bidi w:val="0"/>
        <w:spacing w:before="0" w:after="0"/>
        <w:ind w:left="353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353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DGCL, as the same exists or as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pStyle w:val="TextBody"/>
        <w:bidi w:val="0"/>
        <w:spacing w:before="0" w:after="0"/>
        <w:ind w:left="72" w:right="0" w:firstLine="724"/>
        <w:jc w:val="both"/>
        <w:rPr>
          <w:caps w:val="false"/>
          <w:smallCaps w:val="false"/>
        </w:rPr>
      </w:pPr>
      <w:r>
        <w:rPr>
          <w:caps w:val="false"/>
          <w:smallCaps w:val="false"/>
        </w:rPr>
        <w:t> </w:t>
      </w:r>
    </w:p>
    <w:p>
      <w:pPr>
        <w:pStyle w:val="TextBody"/>
        <w:bidi w:val="0"/>
        <w:spacing w:before="0" w:after="0"/>
        <w:ind w:left="72"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initiated by such person only if the Proceeding was authorized by the board of directors of the Corporation (other than a Proceeding initiated to enforce these indemnification rights following the final disposition of such Proceeding).</w:t>
      </w:r>
    </w:p>
    <w:p>
      <w:pPr>
        <w:pStyle w:val="TextBody"/>
        <w:bidi w:val="0"/>
        <w:spacing w:before="0" w:after="0"/>
        <w:ind w:left="70" w:right="0" w:firstLine="726"/>
        <w:jc w:val="both"/>
        <w:rPr>
          <w:caps w:val="false"/>
          <w:smallCaps w:val="false"/>
        </w:rPr>
      </w:pPr>
      <w:r>
        <w:rPr>
          <w:caps w:val="false"/>
          <w:smallCaps w:val="false"/>
        </w:rPr>
        <w:t> </w:t>
      </w:r>
    </w:p>
    <w:p>
      <w:pPr>
        <w:pStyle w:val="TextBody"/>
        <w:bidi w:val="0"/>
        <w:spacing w:before="0" w:after="0"/>
        <w:ind w:left="70" w:right="0"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pStyle w:val="TextBody"/>
        <w:bidi w:val="0"/>
        <w:spacing w:before="0" w:after="0"/>
        <w:ind w:left="72" w:right="0" w:firstLine="726"/>
        <w:jc w:val="both"/>
        <w:rPr>
          <w:caps w:val="false"/>
          <w:smallCaps w:val="false"/>
        </w:rPr>
      </w:pPr>
      <w:r>
        <w:rPr>
          <w:caps w:val="false"/>
          <w:smallCaps w:val="false"/>
        </w:rPr>
        <w:t> </w:t>
      </w:r>
    </w:p>
    <w:p>
      <w:pPr>
        <w:pStyle w:val="TextBody"/>
        <w:bidi w:val="0"/>
        <w:spacing w:before="0" w:after="0"/>
        <w:ind w:left="72" w:right="0"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any amendment nor repeal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nor the adoption of any provision of this Certificate of incorporation inconsistent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eliminate or reduce the effect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in respect of any matter occurring, or any cause of action, suit or claim accruing or arising or that, but for this Article, would accrue or arise, prior to such amendment, repeal or adoption of an inconsistent provision.</w:t>
      </w:r>
    </w:p>
    <w:p>
      <w:pPr>
        <w:pStyle w:val="TextBody"/>
        <w:bidi w:val="0"/>
        <w:spacing w:before="0" w:after="0"/>
        <w:ind w:left="72" w:right="0" w:firstLine="726"/>
        <w:jc w:val="both"/>
        <w:rPr>
          <w:caps w:val="false"/>
          <w:smallCaps w:val="false"/>
        </w:rPr>
      </w:pPr>
      <w:r>
        <w:rPr>
          <w:caps w:val="false"/>
          <w:smallCaps w:val="false"/>
        </w:rPr>
        <w:t> </w:t>
      </w:r>
    </w:p>
    <w:p>
      <w:pPr>
        <w:pStyle w:val="TextBody"/>
        <w:bidi w:val="0"/>
        <w:spacing w:before="0" w:after="0"/>
        <w:ind w:left="72" w:right="0" w:firstLine="72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jc w:val="right"/>
        <w:rPr>
          <w:b/>
        </w:rPr>
      </w:pPr>
      <w:bookmarkStart w:id="34" w:name="ea028257401ex3-1.htm"/>
      <w:bookmarkStart w:id="35" w:name="ksea028257401ex31"/>
      <w:bookmarkEnd w:id="34"/>
      <w:bookmarkEnd w:id="35"/>
      <w:r>
        <w:rPr>
          <w:b/>
        </w:rPr>
        <w:t>Exhibit 3.1</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CORPORATE DOMESTICATION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388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388 of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Inflection Point Acquisition Corp. IV (f/k/a Bleichroeder Acquisition Corp. I), presently a Cayman Islands exempted company, organized and existing under the laws of the Cayman Islands (the “</w:t>
      </w:r>
      <w:r>
        <w:rPr>
          <w:rFonts w:ascii="Times New Roman;Times;Serif" w:hAnsi="Times New Roman;Times;Serif"/>
          <w:b w:val="false"/>
          <w:i w:val="false"/>
          <w:caps w:val="false"/>
          <w:smallCaps w:val="false"/>
          <w:sz w:val="20"/>
          <w:u w:val="single"/>
        </w:rPr>
        <w:t>Non-Delaware Corporation</w:t>
      </w:r>
      <w:r>
        <w:rPr>
          <w:rFonts w:ascii="Times New Roman;Times;Serif" w:hAnsi="Times New Roman;Times;Serif"/>
          <w:b w:val="false"/>
          <w:i w:val="false"/>
          <w:caps w:val="false"/>
          <w:smallCaps w:val="false"/>
          <w:sz w:val="20"/>
        </w:rPr>
        <w:t>”), does hereby certify in this certificate of corporate domestication (this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15"/>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1)</w:t>
            </w:r>
          </w:p>
        </w:tc>
        <w:tc>
          <w:tcPr>
            <w:tcW w:w="6935" w:type="dxa"/>
            <w:tcBorders/>
            <w:vAlign w:val="center"/>
          </w:tcPr>
          <w:p>
            <w:pPr>
              <w:pStyle w:val="TableContents"/>
              <w:bidi w:val="0"/>
              <w:spacing w:before="0" w:after="283"/>
              <w:jc w:val="both"/>
              <w:rPr/>
            </w:pPr>
            <w:r>
              <w:rPr/>
              <w:t>The Non-Delaware Corporation was first incorporated on June 24,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2)</w:t>
            </w:r>
          </w:p>
        </w:tc>
        <w:tc>
          <w:tcPr>
            <w:tcW w:w="9992" w:type="dxa"/>
            <w:tcBorders/>
            <w:vAlign w:val="center"/>
          </w:tcPr>
          <w:p>
            <w:pPr>
              <w:pStyle w:val="TableContents"/>
              <w:bidi w:val="0"/>
              <w:spacing w:before="0" w:after="283"/>
              <w:jc w:val="both"/>
              <w:rPr/>
            </w:pPr>
            <w:r>
              <w:rPr/>
              <w:t>The name under which the Non-Delaware Corporation first was formed was “Bleichroeder Acquisition Corp. I”, and the jurisdiction where the Non-Delaware Corporation first formed is the Cayman Islands.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283"/>
              <w:jc w:val="both"/>
              <w:rPr/>
            </w:pPr>
            <w:r>
              <w:rPr/>
              <w:t>The Non-Delaware Corporation was renamed “Inflection Point Acquisition Corp. IV” on October 21,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283"/>
              <w:jc w:val="both"/>
              <w:rPr/>
            </w:pPr>
            <w:r>
              <w:rPr/>
              <w:t>The name of the Non-Delaware Corporation immediately prior to filing this Certificate is “Inflection Point Acquisition Corp. IV”.</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5)</w:t>
            </w:r>
          </w:p>
        </w:tc>
        <w:tc>
          <w:tcPr>
            <w:tcW w:w="10000" w:type="dxa"/>
            <w:tcBorders/>
            <w:vAlign w:val="center"/>
          </w:tcPr>
          <w:p>
            <w:pPr>
              <w:pStyle w:val="TableContents"/>
              <w:bidi w:val="0"/>
              <w:spacing w:before="0" w:after="283"/>
              <w:jc w:val="both"/>
              <w:rPr/>
            </w:pPr>
            <w:r>
              <w:rPr/>
              <w:t>The jurisdiction that constituted the seat, siege social, or principal place of business or central administration of the Non-Delaware Corporation or any other equivalent thereto under applicable law, immediately prior to the filing of this Certificate is the Cayman Islands.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6)</w:t>
            </w:r>
          </w:p>
        </w:tc>
        <w:tc>
          <w:tcPr>
            <w:tcW w:w="9975" w:type="dxa"/>
            <w:tcBorders/>
            <w:vAlign w:val="center"/>
          </w:tcPr>
          <w:p>
            <w:pPr>
              <w:pStyle w:val="TableContents"/>
              <w:bidi w:val="0"/>
              <w:spacing w:before="0" w:after="283"/>
              <w:jc w:val="both"/>
              <w:rPr/>
            </w:pPr>
            <w:r>
              <w:rPr/>
              <w:t>The name of the corporation as set forth in the certificate of incorporation filed in accordance with Section 388(b) of the DGCL is “Merlin,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7)</w:t>
            </w:r>
          </w:p>
        </w:tc>
        <w:tc>
          <w:tcPr>
            <w:tcW w:w="10006" w:type="dxa"/>
            <w:tcBorders/>
            <w:vAlign w:val="center"/>
          </w:tcPr>
          <w:p>
            <w:pPr>
              <w:pStyle w:val="TableContents"/>
              <w:bidi w:val="0"/>
              <w:spacing w:before="0" w:after="283"/>
              <w:jc w:val="both"/>
              <w:rPr/>
            </w:pPr>
            <w:r>
              <w:rPr/>
              <w:t>Prior to the effectiveness of this Certificate, the domestication has been approved in the manner provided for by the document, instrument, agreement or other writing, as the case may be, governing the internal affairs of the Non-Delaware Corporation and the conduct of its business or by applicable non-Delaware law, as appropriate.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8)</w:t>
            </w:r>
          </w:p>
        </w:tc>
        <w:tc>
          <w:tcPr>
            <w:tcW w:w="10010" w:type="dxa"/>
            <w:tcBorders/>
            <w:vAlign w:val="center"/>
          </w:tcPr>
          <w:p>
            <w:pPr>
              <w:pStyle w:val="TableContents"/>
              <w:bidi w:val="0"/>
              <w:spacing w:before="0" w:after="283"/>
              <w:jc w:val="both"/>
              <w:rPr/>
            </w:pPr>
            <w:r>
              <w:rPr/>
              <w:t>All provisions of the plan of domestication (the “</w:t>
            </w:r>
            <w:r>
              <w:rPr>
                <w:u w:val="single"/>
              </w:rPr>
              <w:t>Plan of Domestication</w:t>
            </w:r>
            <w:r>
              <w:rPr/>
              <w:t>”) adopted in accordance with Section 388(1) of the DGCL have been approved prior to the effectiveness of this Certificate in accordance with all applicable non-United States law, including approvals required under non-United States law for the authorization of the type of corporate action specified in the Plan of Domestication.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on next page.]</w:t>
      </w:r>
    </w:p>
    <w:p>
      <w:pPr>
        <w:pStyle w:val="TextBody"/>
        <w:bidi w:val="0"/>
        <w:spacing w:before="0" w:after="0"/>
        <w:ind w:left="0" w:right="0" w:hanging="0"/>
        <w:jc w:val="left"/>
        <w:rPr>
          <w:caps w:val="false"/>
          <w:smallCaps w:val="false"/>
        </w:rPr>
      </w:pPr>
      <w:r>
        <w:rPr>
          <w:caps w:val="false"/>
          <w:smallCaps w:val="false"/>
        </w:rPr>
        <w:t> </w:t>
      </w:r>
    </w:p>
    <w:tbl>
      <w:tblPr>
        <w:tblW w:w="3710" w:type="dxa"/>
        <w:jc w:val="left"/>
        <w:tblInd w:w="0" w:type="dxa"/>
        <w:tblLayout w:type="fixed"/>
        <w:tblCellMar>
          <w:top w:w="0" w:type="dxa"/>
          <w:left w:w="0" w:type="dxa"/>
          <w:bottom w:w="0" w:type="dxa"/>
          <w:right w:w="0" w:type="dxa"/>
        </w:tblCellMar>
      </w:tblPr>
      <w:tblGrid>
        <w:gridCol w:w="3575"/>
        <w:gridCol w:w="60"/>
        <w:gridCol w:w="75"/>
      </w:tblGrid>
      <w:tr>
        <w:trPr/>
        <w:tc>
          <w:tcPr>
            <w:tcW w:w="357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Delaware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 of State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Division of Corporations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Delivered 03:22 PM 03/13/2026</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03:22 PM 03/13/2026</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SR 20261185580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File Number 10546642</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being duly authorized to sign on behalf of the converting Non-Delaware Corporation has executed this Certificate on the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INFLECTION POINT ACQUISITION CORP. IV,</w:t>
      </w:r>
      <w:r>
        <w:rPr>
          <w:rFonts w:ascii="Times New Roman;Times;Serif" w:hAnsi="Times New Roman;Times;Serif"/>
          <w:b w:val="false"/>
          <w:i w:val="false"/>
          <w:caps w:val="false"/>
          <w:smallCaps w:val="false"/>
          <w:sz w:val="20"/>
        </w:rPr>
        <w:t xml:space="preserve"> a Cayman Islands exempted company</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28" w:type="dxa"/>
          <w:right w:w="0" w:type="dxa"/>
        </w:tblCellMar>
      </w:tblPr>
      <w:tblGrid>
        <w:gridCol w:w="665"/>
        <w:gridCol w:w="4520"/>
        <w:gridCol w:w="75"/>
      </w:tblGrid>
      <w:tr>
        <w:trPr/>
        <w:tc>
          <w:tcPr>
            <w:tcW w:w="5185" w:type="dxa"/>
            <w:gridSpan w:val="2"/>
            <w:tcBorders>
              <w:bottom w:val="single" w:sz="12" w:space="0" w:color="000000"/>
            </w:tcBorders>
            <w:vAlign w:val="center"/>
          </w:tcPr>
          <w:p>
            <w:pPr>
              <w:pStyle w:val="TableContents"/>
              <w:bidi w:val="0"/>
              <w:spacing w:before="0" w:after="283"/>
              <w:jc w:val="left"/>
              <w:rPr/>
            </w:pPr>
            <w:r>
              <w:rPr/>
              <w:t>/s/ Michael Blitzer</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Name:</w:t>
            </w:r>
          </w:p>
        </w:tc>
        <w:tc>
          <w:tcPr>
            <w:tcW w:w="4520" w:type="dxa"/>
            <w:tcBorders/>
            <w:tcMar>
              <w:bottom w:w="0" w:type="dxa"/>
            </w:tcMar>
            <w:vAlign w:val="center"/>
          </w:tcPr>
          <w:p>
            <w:pPr>
              <w:pStyle w:val="TableContents"/>
              <w:bidi w:val="0"/>
              <w:spacing w:before="0" w:after="283"/>
              <w:jc w:val="left"/>
              <w:rPr/>
            </w:pPr>
            <w:r>
              <w:rPr/>
              <w:t>Michael Blitzer</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Title:</w:t>
            </w:r>
          </w:p>
        </w:tc>
        <w:tc>
          <w:tcPr>
            <w:tcW w:w="4520" w:type="dxa"/>
            <w:tcBorders/>
            <w:tcMar>
              <w:bottom w:w="0" w:type="dxa"/>
            </w:tcMar>
            <w:vAlign w:val="center"/>
          </w:tcPr>
          <w:p>
            <w:pPr>
              <w:pStyle w:val="TableContents"/>
              <w:bidi w:val="0"/>
              <w:spacing w:before="0" w:after="283"/>
              <w:jc w:val="left"/>
              <w:rPr/>
            </w:pPr>
            <w:r>
              <w:rPr/>
              <w:t>President, Chief Executive Officer and Director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Certificate of Corporate Domestication]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36" w:name="ea028257401ex3-2.htm"/>
      <w:bookmarkStart w:id="37" w:name="ksea028257401ex32"/>
      <w:bookmarkEnd w:id="36"/>
      <w:bookmarkEnd w:id="37"/>
      <w:r>
        <w:rPr>
          <w:b/>
        </w:rPr>
        <w:t>Exhibit 3.2</w:t>
      </w:r>
      <w:r>
        <w:br w:type="page"/>
      </w:r>
    </w:p>
    <w:p>
      <w:pPr>
        <w:pStyle w:val="TextBody"/>
        <w:bidi w:val="0"/>
        <w:jc w:val="right"/>
        <w:rPr/>
      </w:pPr>
      <w:r>
        <w:rPr/>
        <w:t> </w:t>
      </w:r>
    </w:p>
    <w:tbl>
      <w:tblPr>
        <w:tblW w:w="3650" w:type="dxa"/>
        <w:jc w:val="left"/>
        <w:tblInd w:w="0" w:type="dxa"/>
        <w:tblLayout w:type="fixed"/>
        <w:tblCellMar>
          <w:top w:w="0" w:type="dxa"/>
          <w:left w:w="0" w:type="dxa"/>
          <w:bottom w:w="0" w:type="dxa"/>
          <w:right w:w="0" w:type="dxa"/>
        </w:tblCellMar>
      </w:tblPr>
      <w:tblGrid>
        <w:gridCol w:w="3575"/>
        <w:gridCol w:w="75"/>
      </w:tblGrid>
      <w:tr>
        <w:trPr/>
        <w:tc>
          <w:tcPr>
            <w:tcW w:w="35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242324"/>
                <w:sz w:val="20"/>
              </w:rPr>
              <w:t>State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0F0F0F"/>
                <w:sz w:val="20"/>
              </w:rPr>
              <w:t>Delaware</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 of State</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Division </w:t>
            </w:r>
            <w:r>
              <w:rPr>
                <w:rFonts w:ascii="Times New Roman;Times;Serif" w:hAnsi="Times New Roman;Times;Serif"/>
                <w:b/>
                <w:i w:val="false"/>
                <w:caps w:val="false"/>
                <w:smallCaps w:val="false"/>
                <w:color w:val="242324"/>
                <w:sz w:val="20"/>
              </w:rPr>
              <w:t>of Corporations</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F0F0F"/>
                <w:sz w:val="20"/>
              </w:rPr>
              <w:t>Delivered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211F41"/>
                <w:sz w:val="20"/>
              </w:rPr>
              <w:t>0</w:t>
            </w:r>
            <w:r>
              <w:rPr>
                <w:rFonts w:ascii="Times New Roman;Times;Serif" w:hAnsi="Times New Roman;Times;Serif"/>
                <w:b/>
                <w:i w:val="false"/>
                <w:caps w:val="false"/>
                <w:smallCaps w:val="false"/>
                <w:color w:val="0F0F0F"/>
                <w:sz w:val="20"/>
              </w:rPr>
              <w:t>3:22 PM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211F41"/>
                <w:sz w:val="20"/>
              </w:rPr>
              <w:t>0</w:t>
            </w:r>
            <w:r>
              <w:rPr>
                <w:rFonts w:ascii="Times New Roman;Times;Serif" w:hAnsi="Times New Roman;Times;Serif"/>
                <w:b/>
                <w:i w:val="false"/>
                <w:caps w:val="false"/>
                <w:smallCaps w:val="false"/>
                <w:color w:val="242324"/>
                <w:sz w:val="20"/>
              </w:rPr>
              <w:t>3</w:t>
            </w:r>
            <w:r>
              <w:rPr>
                <w:rFonts w:ascii="Times New Roman;Times;Serif" w:hAnsi="Times New Roman;Times;Serif"/>
                <w:b/>
                <w:i w:val="false"/>
                <w:caps w:val="false"/>
                <w:smallCaps w:val="false"/>
                <w:color w:val="7B777B"/>
                <w:sz w:val="20"/>
              </w:rPr>
              <w:t>/</w:t>
            </w:r>
            <w:r>
              <w:rPr>
                <w:rFonts w:ascii="Times New Roman;Times;Serif" w:hAnsi="Times New Roman;Times;Serif"/>
                <w:b/>
                <w:i w:val="false"/>
                <w:caps w:val="false"/>
                <w:smallCaps w:val="false"/>
                <w:color w:val="0F0F0F"/>
                <w:sz w:val="20"/>
              </w:rPr>
              <w:t>13</w:t>
            </w:r>
            <w:r>
              <w:rPr>
                <w:rFonts w:ascii="Times New Roman;Times;Serif" w:hAnsi="Times New Roman;Times;Serif"/>
                <w:b/>
                <w:i w:val="false"/>
                <w:caps w:val="false"/>
                <w:smallCaps w:val="false"/>
                <w:color w:val="7B777B"/>
                <w:sz w:val="20"/>
              </w:rPr>
              <w:t>/</w:t>
            </w:r>
            <w:r>
              <w:rPr>
                <w:rFonts w:ascii="Times New Roman;Times;Serif" w:hAnsi="Times New Roman;Times;Serif"/>
                <w:b/>
                <w:i w:val="false"/>
                <w:caps w:val="false"/>
                <w:smallCaps w:val="false"/>
                <w:color w:val="242324"/>
                <w:sz w:val="20"/>
              </w:rPr>
              <w:t>2026</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FILED </w:t>
            </w:r>
            <w:r>
              <w:rPr>
                <w:rFonts w:ascii="Times New Roman;Times;Serif" w:hAnsi="Times New Roman;Times;Serif"/>
                <w:b/>
                <w:i w:val="false"/>
                <w:caps w:val="false"/>
                <w:smallCaps w:val="false"/>
                <w:color w:val="242324"/>
                <w:sz w:val="20"/>
              </w:rPr>
              <w:t>03:22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0F0F0F"/>
                <w:sz w:val="20"/>
              </w:rPr>
              <w:t>PM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242324"/>
                <w:sz w:val="20"/>
              </w:rPr>
              <w:t>03</w:t>
            </w:r>
            <w:r>
              <w:rPr>
                <w:rFonts w:ascii="Times New Roman;Times;Serif" w:hAnsi="Times New Roman;Times;Serif"/>
                <w:b/>
                <w:i w:val="false"/>
                <w:caps w:val="false"/>
                <w:smallCaps w:val="false"/>
                <w:color w:val="7B777B"/>
                <w:sz w:val="20"/>
              </w:rPr>
              <w:t>/</w:t>
            </w:r>
            <w:r>
              <w:rPr>
                <w:rFonts w:ascii="Times New Roman;Times;Serif" w:hAnsi="Times New Roman;Times;Serif"/>
                <w:b/>
                <w:i w:val="false"/>
                <w:caps w:val="false"/>
                <w:smallCaps w:val="false"/>
                <w:color w:val="242324"/>
                <w:sz w:val="20"/>
              </w:rPr>
              <w:t>13</w:t>
            </w:r>
            <w:r>
              <w:rPr>
                <w:rFonts w:ascii="Times New Roman;Times;Serif" w:hAnsi="Times New Roman;Times;Serif"/>
                <w:b/>
                <w:i w:val="false"/>
                <w:caps w:val="false"/>
                <w:smallCaps w:val="false"/>
                <w:color w:val="7B777B"/>
                <w:sz w:val="20"/>
              </w:rPr>
              <w:t>/</w:t>
            </w:r>
            <w:r>
              <w:rPr>
                <w:rFonts w:ascii="Times New Roman;Times;Serif" w:hAnsi="Times New Roman;Times;Serif"/>
                <w:b/>
                <w:i w:val="false"/>
                <w:caps w:val="false"/>
                <w:smallCaps w:val="false"/>
                <w:color w:val="242324"/>
                <w:sz w:val="20"/>
              </w:rPr>
              <w:t>2026</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242324"/>
                <w:sz w:val="20"/>
              </w:rPr>
              <w:t>SR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0F0F0F"/>
                <w:sz w:val="20"/>
              </w:rPr>
              <w:t>20261185580 -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242324"/>
                <w:sz w:val="20"/>
              </w:rPr>
              <w:t>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0F0F0F"/>
                <w:sz w:val="20"/>
              </w:rPr>
              <w:t>10546642</w:t>
            </w:r>
          </w:p>
        </w:tc>
        <w:tc>
          <w:tcPr>
            <w:tcW w:w="75"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CERTIFICATE OF INCORPORATION</w:t>
        <w:br/>
        <w:t>OF</w:t>
        <w:br/>
        <w:t>MERLIN, INC.</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Merlin, Inc.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Corporation’s registered office in the State of Delaware is 251 Little Falls Dr., Wilmington, New Castle County, DE 19808. The name of its registered agent at such address is Corporation Service Company.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business of the Corporation and the objects or purposes to be transacted, promoted or carried on by the Corporation is to engage in any lawful act or activity for which corporations may be organized under the General Corporation Law of the State of Delaware, as it now exists or may hereafter be amended and supplemented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The Corporation is being incorporated in connection with the domestication of Inflection Point Acquisition Corp. IV, a Cayman Islands exempted company limited by shares (“</w:t>
      </w:r>
      <w:r>
        <w:rPr>
          <w:rFonts w:ascii="Times New Roman;Times;Serif" w:hAnsi="Times New Roman;Times;Serif"/>
          <w:b/>
          <w:i/>
          <w:caps w:val="false"/>
          <w:smallCaps w:val="false"/>
          <w:sz w:val="20"/>
        </w:rPr>
        <w:t>Inflection Point</w:t>
      </w:r>
      <w:r>
        <w:rPr>
          <w:rFonts w:ascii="Times New Roman;Times;Serif" w:hAnsi="Times New Roman;Times;Serif"/>
          <w:b w:val="false"/>
          <w:i w:val="false"/>
          <w:caps w:val="false"/>
          <w:smallCaps w:val="false"/>
          <w:sz w:val="20"/>
        </w:rPr>
        <w:t>”), as a Delaware corporation, and this Certificate of Incorporation is being filed simultaneously with the Certificate of Corporate Domestication of Inflection Point (the “</w:t>
      </w:r>
      <w:r>
        <w:rPr>
          <w:rFonts w:ascii="Times New Roman;Times;Serif" w:hAnsi="Times New Roman;Times;Serif"/>
          <w:b/>
          <w:i/>
          <w:caps w:val="false"/>
          <w:smallCaps w:val="false"/>
          <w:sz w:val="20"/>
        </w:rPr>
        <w:t>Certificate of Domestication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Authorized Stock</w:t>
      </w:r>
      <w:r>
        <w:rPr>
          <w:rFonts w:ascii="Times New Roman;Times;Serif" w:hAnsi="Times New Roman;Times;Serif"/>
          <w:b w:val="false"/>
          <w:i w:val="false"/>
          <w:caps w:val="false"/>
          <w:smallCaps w:val="false"/>
          <w:sz w:val="20"/>
        </w:rPr>
        <w:t>. The total number of shares of all classes of stock that the Corporation is authorized to issue is eight hundred fifty million (850,000,000), consisting of two classes as follows:</w:t>
      </w:r>
    </w:p>
    <w:p>
      <w:pPr>
        <w:pStyle w:val="TextBody"/>
        <w:bidi w:val="0"/>
        <w:spacing w:before="0" w:after="0"/>
        <w:ind w:left="0" w:right="0" w:firstLine="1380"/>
        <w:jc w:val="both"/>
        <w:rPr>
          <w:caps w:val="false"/>
          <w:smallCaps w:val="false"/>
        </w:rPr>
      </w:pPr>
      <w:r>
        <w:rPr>
          <w:caps w:val="false"/>
          <w:smallCaps w:val="false"/>
        </w:rPr>
        <w:t> </w:t>
      </w:r>
    </w:p>
    <w:p>
      <w:pPr>
        <w:pStyle w:val="TextBody"/>
        <w:bidi w:val="0"/>
        <w:spacing w:before="0" w:after="0"/>
        <w:ind w:left="0" w:right="0" w:firstLine="1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eight hundred million (800,000,000) shares of common stock, with a par value of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and</w:t>
      </w:r>
    </w:p>
    <w:p>
      <w:pPr>
        <w:pStyle w:val="TextBody"/>
        <w:bidi w:val="0"/>
        <w:spacing w:before="0" w:after="0"/>
        <w:ind w:left="0" w:right="0" w:firstLine="1380"/>
        <w:jc w:val="both"/>
        <w:rPr>
          <w:caps w:val="false"/>
          <w:smallCaps w:val="false"/>
        </w:rPr>
      </w:pPr>
      <w:r>
        <w:rPr>
          <w:caps w:val="false"/>
          <w:smallCaps w:val="false"/>
        </w:rPr>
        <w:t> </w:t>
      </w:r>
    </w:p>
    <w:p>
      <w:pPr>
        <w:pStyle w:val="TextBody"/>
        <w:bidi w:val="0"/>
        <w:spacing w:before="0" w:after="0"/>
        <w:ind w:left="0" w:right="0" w:firstLine="1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fifty million (50,000,000) shares of preferred stock, with a par value of $0.0001 per share (the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filing of the Certificate of Domestication and this Certificate of Incorporation, each issued and outstanding ordinary share of Inflection Point shall convert automatically, on a one-for-one basis, into a share of Common Stock, without any action required on the part of the Corporation or the holders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The board of directors of the Corporation (the “</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is authorized, subject to any limitations prescribed by law, to provide, out of the unissued shares of Preferred Stock, for the issuance of shares of Preferred Stock in one or more series, including “blank check” preferred stock, and by filing a certificate pursuant to the applicable law of the State of Delaware (such certificate being hereinafter referred to as a “</w:t>
      </w:r>
      <w:r>
        <w:rPr>
          <w:rFonts w:ascii="Times New Roman;Times;Serif" w:hAnsi="Times New Roman;Times;Serif"/>
          <w:b/>
          <w:i/>
          <w:caps w:val="false"/>
          <w:smallCaps w:val="false"/>
          <w:sz w:val="20"/>
        </w:rPr>
        <w:t>Preferred Stock Designation</w:t>
      </w:r>
      <w:r>
        <w:rPr>
          <w:rFonts w:ascii="Times New Roman;Times;Serif" w:hAnsi="Times New Roman;Times;Serif"/>
          <w:b w:val="false"/>
          <w:i w:val="false"/>
          <w:caps w:val="false"/>
          <w:smallCaps w:val="false"/>
          <w:sz w:val="20"/>
        </w:rPr>
        <w:t>”), to establish from time to time the number of shares to be included in each such series and to fix the powers, designations, preferences and relative, participating, optional or other special rights, and qualifications, limitations or restrictions thereof, including, without limitation, the authority to fix the dividend rights, dividend rates, conversion rights, exchange rights, voting rights,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 or any of them and to increase or decrease the number of shares of any series so created (except where otherwise provided in the Preferred Stock Designation), subsequent to the issue of that series but not below the number of shares of such series then outstanding. In case the authorized number of shares of any series shall be so decreased, the shares constituting such decrease shall resume the status which they had prior to the adoption of the resolution originally fixing the number of shares of such series (except where otherwise provided in the Preferred Stock Designation). There shall be no limitation or restriction on any variation between any of the different series of Preferred Stock as to the designations, preferences and relative, participating, optional or other special rights, and the qualifications, limitations or restrictions thereof; and the several series of Preferred Stock may vary in any and all respects as fixed and determined by the resolution or resolutions of the Board of Directors or by a duly authorized committee of the Board of Directors, providing for the issuance of the various series of Preferred Stock. Except as otherwise expressly provided in this Certificate of Incorporation (including any Certificate of Designation relating to any series of Preferred Stock), no vote of the holders of shares of Preferred Stock or Common Stock shall be a prerequisite to the issuance of any shares of any series of the Preferred Stock so authorized in accordance with this Certificate of Incorporation.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relating to any series of Preferred Stock) or pursuant to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Number of Authorized Shares</w:t>
      </w:r>
      <w:r>
        <w:rPr>
          <w:rFonts w:ascii="Times New Roman;Times;Serif" w:hAnsi="Times New Roman;Times;Serif"/>
          <w:b w:val="false"/>
          <w:i w:val="false"/>
          <w:caps w:val="false"/>
          <w:smallCaps w:val="false"/>
          <w:sz w:val="20"/>
        </w:rPr>
        <w:t>. The number of authorized shares of any of the Common Stock or Preferred Stock may be increased or decreased (but not below the number of shares thereof then outstanding) by the affirmative vote of the holders of a majority of the voting power of all of the outstanding shares of capital stock of the Corporation entitled to vote thereon, without a separate vote of any holders of shares of Common Stock or Preferred Stock, or of any series thereof, irrespective of the provisions of Section 242(b)(2) of the DGCL, unless a separate vote of any such holders is required pursuant to the terms of any Preferred Stock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The powers, preferences and rights of the Common Stock, and the qualifications, limitations or restrictions thereof are as follows:</w:t>
      </w:r>
    </w:p>
    <w:p>
      <w:pPr>
        <w:pStyle w:val="TextBody"/>
        <w:bidi w:val="0"/>
        <w:spacing w:before="0" w:after="0"/>
        <w:ind w:left="0" w:right="0" w:firstLine="1380"/>
        <w:jc w:val="both"/>
        <w:rPr>
          <w:caps w:val="false"/>
          <w:smallCaps w:val="false"/>
        </w:rPr>
      </w:pPr>
      <w:r>
        <w:rPr>
          <w:caps w:val="false"/>
          <w:smallCaps w:val="false"/>
        </w:rPr>
        <w:t> </w:t>
      </w:r>
    </w:p>
    <w:p>
      <w:pPr>
        <w:pStyle w:val="TextBody"/>
        <w:bidi w:val="0"/>
        <w:spacing w:before="0" w:after="0"/>
        <w:ind w:left="0" w:right="0" w:firstLine="1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Except as otherwise required by law, each share of Common Stock shall entitle the record holder thereof as of the applicable record date to one (1) vote per share in person or by proxy on all matters submitted to a vote of the holders of Common Stock, whether voting separately as a class or otherwise.</w:t>
      </w:r>
    </w:p>
    <w:p>
      <w:pPr>
        <w:pStyle w:val="TextBody"/>
        <w:bidi w:val="0"/>
        <w:spacing w:before="0" w:after="0"/>
        <w:ind w:left="0" w:right="0" w:firstLine="1380"/>
        <w:jc w:val="both"/>
        <w:rPr>
          <w:caps w:val="false"/>
          <w:smallCaps w:val="false"/>
        </w:rPr>
      </w:pPr>
      <w:r>
        <w:rPr>
          <w:caps w:val="false"/>
          <w:smallCaps w:val="false"/>
        </w:rPr>
        <w:t> </w:t>
      </w:r>
    </w:p>
    <w:p>
      <w:pPr>
        <w:pStyle w:val="TextBody"/>
        <w:bidi w:val="0"/>
        <w:spacing w:before="0" w:after="0"/>
        <w:ind w:left="0" w:right="0" w:firstLine="1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Dividends and Distributions</w:t>
      </w:r>
      <w:r>
        <w:rPr>
          <w:rFonts w:ascii="Times New Roman;Times;Serif" w:hAnsi="Times New Roman;Times;Serif"/>
          <w:b w:val="false"/>
          <w:i w:val="false"/>
          <w:caps w:val="false"/>
          <w:smallCaps w:val="false"/>
          <w:sz w:val="20"/>
        </w:rPr>
        <w:t>. Subject to applicable law and the rights and preferences of any holders of any outstanding series of Preferred Stock or any class or series of stock having a preference over or the right to participate with the Common Stock with respect to the payment of dividends, holders of Common Stock, as such, shall be entitled to the payment of dividends on the Common Stock when, as and if declared by the Board of Directors in accordance with applicable law.</w:t>
      </w:r>
    </w:p>
    <w:p>
      <w:pPr>
        <w:pStyle w:val="TextBody"/>
        <w:bidi w:val="0"/>
        <w:spacing w:before="0" w:after="0"/>
        <w:ind w:left="0" w:right="0" w:firstLine="1380"/>
        <w:jc w:val="both"/>
        <w:rPr>
          <w:caps w:val="false"/>
          <w:smallCaps w:val="false"/>
        </w:rPr>
      </w:pPr>
      <w:r>
        <w:rPr>
          <w:caps w:val="false"/>
          <w:smallCaps w:val="false"/>
        </w:rPr>
        <w:t> </w:t>
      </w:r>
    </w:p>
    <w:p>
      <w:pPr>
        <w:pStyle w:val="TextBody"/>
        <w:bidi w:val="0"/>
        <w:spacing w:before="0" w:after="0"/>
        <w:ind w:left="0" w:right="0" w:firstLine="1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Liquidation Rights</w:t>
      </w:r>
      <w:r>
        <w:rPr>
          <w:rFonts w:ascii="Times New Roman;Times;Serif" w:hAnsi="Times New Roman;Times;Serif"/>
          <w:b w:val="false"/>
          <w:i w:val="false"/>
          <w:caps w:val="false"/>
          <w:smallCaps w:val="false"/>
          <w:sz w:val="20"/>
        </w:rPr>
        <w:t>. In the event of liquidation, dissolution or winding up of the affairs of the Corporation, whether voluntary or involuntary, after payment or provision for payment of the debts and other liabilities of the Corporation and after making provisions for preferential and other amounts, if any, to which the holders of Preferred Stock or any class or series of stock having a preference over or the right to participate with the Common Stock with respect to payments in liquidation shall be entitled, the remaining assets and funds of the Corporation available for distribution shall be divided among and paid ratably to the holders of all outstanding shares of Common Stock in proportion to the number of shares held by each such stockholder.</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by statute, the Board of Directors is expressly authorized to adopt, amend or repeal the Bylaws of the Corporation. In addition to any vote of the holders of any class or series of stock of the Corporation required by applicable law or by this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Management</w:t>
      </w:r>
      <w:r>
        <w:rPr>
          <w:rFonts w:ascii="Times New Roman;Times;Serif" w:hAnsi="Times New Roman;Times;Serif"/>
          <w:b w:val="false"/>
          <w:i w:val="false"/>
          <w:caps w:val="false"/>
          <w:smallCaps w:val="false"/>
          <w:sz w:val="20"/>
        </w:rPr>
        <w:t>. Except as otherwise expressly provided by the DGCL or this Certificate of Incorporation, the business and affairs of the Corporation shall be managed by or under the direction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Ballot</w:t>
      </w:r>
      <w:r>
        <w:rPr>
          <w:rFonts w:ascii="Times New Roman;Times;Serif" w:hAnsi="Times New Roman;Times;Serif"/>
          <w:b w:val="false"/>
          <w:i w:val="false"/>
          <w:caps w:val="false"/>
          <w:smallCaps w:val="false"/>
          <w:sz w:val="20"/>
        </w:rPr>
        <w:t>. Elections of directors (each such director, in such capacity, a “</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need not be by written ballot unless the Bylaws of the Corporation shall so provide.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Number and Terms of the Board of Directors</w:t>
      </w:r>
      <w:r>
        <w:rPr>
          <w:rFonts w:ascii="Times New Roman;Times;Serif" w:hAnsi="Times New Roman;Times;Serif"/>
          <w:b w:val="false"/>
          <w:i w:val="false"/>
          <w:caps w:val="false"/>
          <w:smallCaps w:val="false"/>
          <w:sz w:val="20"/>
        </w:rPr>
        <w:t>. Subject to the rights of the holders of any series of Preferred Stock to elect directors under specified circumstances, the number of directors which shall constitute the whole Board of Directors shall be fixed exclusively by one or more resolutions adopted from time to time by the Board of Directors, and, at each annual meeting of shareholders, all directors shall be elected for terms expiring at the next annual meeting of stockholders and until such directors’ successors shall have been elected and qualified. During any period when the holders of any series of Preferred Stock have the special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series of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this Certificate of Incorporation (including any Certificate of Designation establishing any series of Preferred Stock), whenever the holders of any series of Preferred Stock having the special right to elect additional directors are divested of such right pursuant to this Certificate of Incorporation (including any such Certificate of Designation), the terms of office of all such additional directors elected by the holders of such series, or elected to fill any vacancies resulting from the death, resignation, disqualification or removal of such additional directors, shall forthwith terminate and each such director shall cease to be qualified as (and shall cease to be) a director, and the total authorized number of directors of the Corporation shall be reduced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w:t>
      </w:r>
      <w:r>
        <w:rPr>
          <w:rFonts w:ascii="Times New Roman;Times;Serif" w:hAnsi="Times New Roman;Times;Serif"/>
          <w:b w:val="false"/>
          <w:i w:val="false"/>
          <w:caps w:val="false"/>
          <w:smallCaps w:val="false"/>
          <w:sz w:val="20"/>
          <w:u w:val="single"/>
        </w:rPr>
        <w:t>Newly Created Directorships and Vacancies</w:t>
      </w:r>
      <w:r>
        <w:rPr>
          <w:rFonts w:ascii="Times New Roman;Times;Serif" w:hAnsi="Times New Roman;Times;Serif"/>
          <w:b w:val="false"/>
          <w:i w:val="false"/>
          <w:caps w:val="false"/>
          <w:smallCaps w:val="false"/>
          <w:sz w:val="20"/>
        </w:rPr>
        <w:t>. Except as otherwise required by law and the separate rights of the holders of any series of Preferred Stock then outstanding, unless 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exclusively by the affirmative vote of a majority of the Directors then in office, even though less than a quorum, or by a sole remaining Director (other than any Director elected by the separate vote of one or more outstanding series of Preferred Stock), and not by the stockholders. Any Director so chosen shall hold office for a term expiring at the next annual meeting of stockholders and until his or her successor shall be elected and qualified or until his or her earlier death, resignation, retirement, disqualification,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6.5 </w:t>
      </w:r>
      <w:r>
        <w:rPr>
          <w:rFonts w:ascii="Times New Roman;Times;Serif" w:hAnsi="Times New Roman;Times;Serif"/>
          <w:b w:val="false"/>
          <w:i w:val="false"/>
          <w:caps w:val="false"/>
          <w:smallCaps w:val="false"/>
          <w:sz w:val="20"/>
          <w:u w:val="single"/>
        </w:rPr>
        <w:t>Removal With or Without Cause</w:t>
      </w:r>
      <w:r>
        <w:rPr>
          <w:rFonts w:ascii="Times New Roman;Times;Serif" w:hAnsi="Times New Roman;Times;Serif"/>
          <w:b w:val="false"/>
          <w:i w:val="false"/>
          <w:caps w:val="false"/>
          <w:smallCaps w:val="false"/>
          <w:sz w:val="20"/>
        </w:rPr>
        <w:t>. Subject to the rights of the holders of any series of Preferred Stock then outstanding, any Director, or the entire Board of Directors, may otherwise be removed with or without cause by an affirmative vote of at least two-thirds of the total voting power of all the outstanding shares of capital stock of the Corporation entitled to vote generally in the election of directors, at a meeting duly called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6.6 Except as may otherwise be set forth in the resolution or resolutions of the Board providing for the issuance of one or more series of Preferred Stock, and then only with respect to such series of Preferred Stock, cumulative voting in the election of directors is specifically denied.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w:t>
      </w:r>
      <w:r>
        <w:rPr>
          <w:rFonts w:ascii="Times New Roman;Times;Serif" w:hAnsi="Times New Roman;Times;Serif"/>
          <w:b w:val="false"/>
          <w:i w:val="false"/>
          <w:caps w:val="false"/>
          <w:smallCaps w:val="false"/>
          <w:sz w:val="20"/>
          <w:u w:val="single"/>
        </w:rPr>
        <w:t>Action by Written Consent</w:t>
      </w:r>
      <w:r>
        <w:rPr>
          <w:rFonts w:ascii="Times New Roman;Times;Serif" w:hAnsi="Times New Roman;Times;Serif"/>
          <w:b w:val="false"/>
          <w:i w:val="false"/>
          <w:caps w:val="false"/>
          <w:smallCaps w:val="false"/>
          <w:sz w:val="20"/>
        </w:rPr>
        <w:t>. Any action required or permitted to be taken by the stockholders of the Corporation must be effected at a duly called annual or special meeting of the stockholders of the Corporation (and may not be taken by consent of the stockholders in lieu of a meeting). In addition to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Subject to the special rights of the holders of one or more series of Preferred Stock, special meetings of the stockholders of the Corporation may be called, for any purpose or purposes, at any time only by or at the direction of the Board of Directors, the Chairperson of the Board of Directors, the Chief Executive Officer or President, and shall not be called by any other Person. Subject to the special rights of the holders of one or more series of Preferred Stock, special meetings of the stockholders of the Corporation may not be called by the stockholders of the Corporation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Advance notice of stockholder nominations for the election of directors and of other business proposed to be brought by stockholders before any meeting of the stockholders of the Corporation shall be given in the manner provided in the Bylaws of the Corporation.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affirmative vote of at least two-thirds of the voting power of the outstanding shares is required to amend, alter, change or repeal any provision contained in this Certificate of Incorporation, in the manner now or hereafter prescribed by statute and all rights conferred upon stockholders herein are granted subject to this reservation;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affirmative vote of at least a majority of the voting power of the outstanding shares is required to amend, alter, change or repeal any provision contained in Articles I, II, and III of this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or the adoption of any provision of the Restated Certificate inconsistent with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shall not adversely affect any right or protection of a director or officer of the Corporation with respect to any act or omission occurring prior to such amendment, repeal, modification or adoption. If the DGCL is amended after approval by the stockholders of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DGCL, as the same exists or as may hereafter be amended, a director or officer of the Corporation shall not be personally liable to the Corporation or its stockholders for monetary damages for breach of fiduciary duty as a director or officer. If the DGCL is hereafter amended to authorize corporate action further eliminating or limiting the personal liability of directors or officers, then the liability of a director or officer of the Corporation shall be eliminated or limited to the fullest extent permitted by the DGCL as so amended, automatically and without further action, upon the date of such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any amendment nor repeal of this Article X, nor the adoption by amendment of this Certificate of Incorporation of any provision inconsistent with this Article X, shall eliminate or reduce the effect of this Article X in respect of any matter occurring, or any action or proceeding accruing or arising (or that, but for this Article X, would accrue or arise) prior to such amendment or repeal or adoption of an inconsistent provision.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Corporation consents in writing to the selection of an alternative forum, (a) the Court of Chancery (the “</w:t>
      </w:r>
      <w:r>
        <w:rPr>
          <w:rFonts w:ascii="Times New Roman;Times;Serif" w:hAnsi="Times New Roman;Times;Serif"/>
          <w:b/>
          <w:i/>
          <w:caps w:val="false"/>
          <w:smallCaps w:val="false"/>
          <w:sz w:val="20"/>
        </w:rPr>
        <w:t>Chancery Court</w:t>
      </w:r>
      <w:r>
        <w:rPr>
          <w:rFonts w:ascii="Times New Roman;Times;Serif" w:hAnsi="Times New Roman;Times;Serif"/>
          <w:b w:val="false"/>
          <w:i w:val="false"/>
          <w:caps w:val="false"/>
          <w:smallCaps w:val="false"/>
          <w:sz w:val="20"/>
        </w:rPr>
        <w:t xml:space="preserve">”)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of the Corporation or this Restated Certificate (as either may be amended from time to time) or (iv) any action, suit or proceeding asserting a claim against the Corporation governed by the internal affairs doctrine; and (b) subject to the preceding provisions of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the federal district courts of the United States of America shall be the exclusive forum for the resolution of any complaint asserting a cause or causes of action arising under the Securities Act,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Times;Serif" w:hAnsi="Times New Roman;Times;Serif"/>
          <w:b/>
          <w:i/>
          <w:caps w:val="false"/>
          <w:smallCaps w:val="false"/>
          <w:sz w:val="20"/>
        </w:rPr>
        <w:t>Foreign Action</w:t>
      </w:r>
      <w:r>
        <w:rPr>
          <w:rFonts w:ascii="Times New Roman;Times;Serif" w:hAnsi="Times New Roman;Times;Serif"/>
          <w:b w:val="false"/>
          <w:i w:val="false"/>
          <w:caps w:val="false"/>
          <w:smallCaps w:val="false"/>
          <w:sz w:val="20"/>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Person purchasing or otherwise acquiring any interest in any security of the Corporation shall be deemed to have notice of and consented to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is intended to benefit and may be enforced by the Corporation, its officers and directors, the underwriters to any offering giving rise to such complaint, and any other professional or entity whose profession gives authority to a statement made by that Person and who has prepared or certified any part of the documents underlying the offering. Notwithstanding the foregoing, the provisions of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shall not apply to suits brought to enforce any liability or duty created by the Exchange Act, or any other claim for which the federal courts of the United States have exclusive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provision or provisions of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shall be held to be invalid, illegal or unenforceable as applied to any circumstance for any reason whatsoever, (a) the validity, legality and enforceability of such provisions in any other circumstance and of the remaining provisions of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(including, without limitation, each portion of any paragraph of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containing any such provision held to be invalid, illegal or unenforceable that is not itself held to be invalid, illegal or unenforceable) shall not in any way be affected or impaired thereby and (b) the application of such provision to other Persons and circumstances shall not in any way be affected or impaired thereby.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and without limiting any other provisions of this Certificate of Incorporation (or any other provision of the Bylaws of the Corporation or any agreement entered into by the Corporation),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law, each and every Person purchasing or otherwise acquiring any interest (of any nature whatsoever) in any shares of the capital stock of the Corporation shall be deemed, by reason of and from and after the time of such purchase or other acquisition, to have notice of and to have consented to all of the provisions of (a) this Certificate of Incorporation, (b) the Bylaws of the Corporation and (c) any amendment to this Certificate of Incorporation or the Bylaws of the Corporation enacted or adopted in accordance with this Certificate of Incorporation, the Bylaws of the Corporation and applicable law.</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 In recognition and anticipation that members of the Board who are not employees of the Corporation or a majority owned subsidiary thereof (“</w:t>
      </w:r>
      <w:r>
        <w:rPr>
          <w:rFonts w:ascii="Times New Roman;Times;Serif" w:hAnsi="Times New Roman;Times;Serif"/>
          <w:b/>
          <w:i/>
          <w:caps w:val="false"/>
          <w:smallCaps w:val="false"/>
          <w:sz w:val="20"/>
          <w:u w:val="single"/>
        </w:rPr>
        <w:t>Non-Employee Directors</w:t>
      </w:r>
      <w:r>
        <w:rPr>
          <w:rFonts w:ascii="Times New Roman;Times;Serif" w:hAnsi="Times New Roman;Times;Serif"/>
          <w:b w:val="false"/>
          <w:i w:val="false"/>
          <w:caps w:val="false"/>
          <w:smallCaps w:val="false"/>
          <w:sz w:val="20"/>
        </w:rPr>
        <w:t xml:space="preserve">”)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13.2 No Non-Employee Director (including any Non-Employee Director who serves as an officer of the Corporation in both his or her director and officer capacities) or his or her Affiliates (collectively, “</w:t>
      </w:r>
      <w:r>
        <w:rPr>
          <w:rFonts w:ascii="Times New Roman;Times;Serif" w:hAnsi="Times New Roman;Times;Serif"/>
          <w:b/>
          <w:i/>
          <w:caps w:val="false"/>
          <w:smallCaps w:val="false"/>
          <w:sz w:val="20"/>
          <w:u w:val="single"/>
        </w:rPr>
        <w:t>Identified Persons</w:t>
      </w:r>
      <w:r>
        <w:rPr>
          <w:rFonts w:ascii="Times New Roman;Times;Serif" w:hAnsi="Times New Roman;Times;Serif"/>
          <w:b w:val="false"/>
          <w:i w:val="false"/>
          <w:caps w:val="false"/>
          <w:smallCaps w:val="false"/>
          <w:sz w:val="20"/>
        </w:rPr>
        <w:t>” and, each individually, an “</w:t>
      </w:r>
      <w:r>
        <w:rPr>
          <w:rFonts w:ascii="Times New Roman;Times;Serif" w:hAnsi="Times New Roman;Times;Serif"/>
          <w:b/>
          <w:i/>
          <w:caps w:val="false"/>
          <w:smallCaps w:val="false"/>
          <w:sz w:val="20"/>
          <w:u w:val="single"/>
        </w:rPr>
        <w:t>Identified Person</w:t>
      </w:r>
      <w:r>
        <w:rPr>
          <w:rFonts w:ascii="Times New Roman;Times;Serif" w:hAnsi="Times New Roman;Times;Serif"/>
          <w:b w:val="false"/>
          <w:i w:val="false"/>
          <w:caps w:val="false"/>
          <w:smallCaps w:val="false"/>
          <w:sz w:val="20"/>
        </w:rPr>
        <w:t xml:space="preserve">”)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offers or directs such corporate opportunity to another Person, or does not communicate information regarding such corporate opportunity to the Corporation or any Affiliate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13.3 The Corporation does not renounce its interest in any corporate opportunity offered to any Non-Employee Director (including any Non-Employee Director who serves as an officer of the Corporation in both his or her director and officer capacities) if such opportunity is expressly offered to such Person solely in his or her capacity as a director or officer of the Corporation, and the provisions of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shall not apply to any such corporate opportunity.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13.4 In addition to and notwithstanding the foregoing provisions of this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13.5 Solely for purposes of this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shall mean (a) in respect of any Principal Stockholder, any Person that, directly or indirectly, is controlled by such Principal Stockholder, controls such Principal Stockholder or is under common control with such Principal Stockholder and shall include (i) any principal, member, director, manager, partner, stockholder, officer, employee or other representative of any of the foregoing (other than the Corporation and any entity that is controlled by the Corporation) and (ii) any funds or vehicles advised by Affiliates of such Principal Stockholder,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13.6 To the fullest extent permitted by law, any Person purchasing or otherwise acquiring or holding any interest in any shares of capital stock of the Corporation shall be deemed to have notice of and to have consented to the provisions of this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Certificate of Incorporation, the following terms shall have the following meaning:</w:t>
      </w:r>
    </w:p>
    <w:p>
      <w:pPr>
        <w:pStyle w:val="TextBody"/>
        <w:bidi w:val="0"/>
        <w:spacing w:before="0" w:after="0"/>
        <w:ind w:left="0" w:right="0" w:firstLine="1380"/>
        <w:jc w:val="both"/>
        <w:rPr>
          <w:caps w:val="false"/>
          <w:smallCaps w:val="false"/>
        </w:rPr>
      </w:pPr>
      <w:r>
        <w:rPr>
          <w:caps w:val="false"/>
          <w:smallCaps w:val="false"/>
        </w:rPr>
        <w:t> </w:t>
      </w:r>
    </w:p>
    <w:p>
      <w:pPr>
        <w:pStyle w:val="TextBody"/>
        <w:bidi w:val="0"/>
        <w:spacing w:before="0" w:after="0"/>
        <w:ind w:left="0" w:right="0" w:firstLine="1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 Person that directly, or indirectly through one or more intermediaries, controls, or is controlled by, or is under common control with, another Person;</w:t>
      </w:r>
    </w:p>
    <w:p>
      <w:pPr>
        <w:pStyle w:val="TextBody"/>
        <w:bidi w:val="0"/>
        <w:spacing w:before="0" w:after="0"/>
        <w:ind w:left="0" w:right="0" w:firstLine="1380"/>
        <w:jc w:val="both"/>
        <w:rPr>
          <w:caps w:val="false"/>
          <w:smallCaps w:val="false"/>
        </w:rPr>
      </w:pPr>
      <w:r>
        <w:rPr>
          <w:caps w:val="false"/>
          <w:smallCaps w:val="false"/>
        </w:rPr>
        <w:t> </w:t>
      </w:r>
    </w:p>
    <w:p>
      <w:pPr>
        <w:pStyle w:val="TextBody"/>
        <w:bidi w:val="0"/>
        <w:spacing w:before="0" w:after="0"/>
        <w:ind w:left="0" w:right="0" w:firstLine="1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including the terms “</w:t>
      </w:r>
      <w:r>
        <w:rPr>
          <w:rFonts w:ascii="Times New Roman;Times;Serif" w:hAnsi="Times New Roman;Times;Serif"/>
          <w:b/>
          <w:i/>
          <w:caps w:val="false"/>
          <w:smallCaps w:val="false"/>
          <w:sz w:val="20"/>
        </w:rPr>
        <w:t>controlling</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under common control with</w:t>
      </w:r>
      <w:r>
        <w:rPr>
          <w:rFonts w:ascii="Times New Roman;Times;Serif" w:hAnsi="Times New Roman;Times;Serif"/>
          <w:b w:val="false"/>
          <w:i w:val="false"/>
          <w:caps w:val="false"/>
          <w:smallCaps w:val="false"/>
          <w:sz w:val="20"/>
        </w:rPr>
        <w:t>,” means the possession, directly or indirectly, of the power to direct or cause the direction of the management and policies of a Person, whether through the ownership of voting securities, by contract or otherwise. A Person who is the owner of ten percent (10%)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pStyle w:val="TextBody"/>
        <w:bidi w:val="0"/>
        <w:spacing w:before="0" w:after="0"/>
        <w:ind w:left="0" w:right="0" w:firstLine="1380"/>
        <w:jc w:val="both"/>
        <w:rPr>
          <w:caps w:val="false"/>
          <w:smallCaps w:val="false"/>
        </w:rPr>
      </w:pPr>
      <w:r>
        <w:rPr>
          <w:caps w:val="false"/>
          <w:smallCaps w:val="false"/>
        </w:rPr>
        <w:t> </w:t>
      </w:r>
    </w:p>
    <w:p>
      <w:pPr>
        <w:pStyle w:val="TextBody"/>
        <w:bidi w:val="0"/>
        <w:spacing w:before="0" w:after="0"/>
        <w:ind w:left="0" w:right="0" w:firstLine="1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 and any applicable rules and regulations promulgated thereunder, and any successor to such statute, rules or regulations.</w:t>
      </w:r>
    </w:p>
    <w:p>
      <w:pPr>
        <w:pStyle w:val="TextBody"/>
        <w:bidi w:val="0"/>
        <w:spacing w:before="0" w:after="0"/>
        <w:ind w:left="0" w:right="0" w:firstLine="1380"/>
        <w:jc w:val="both"/>
        <w:rPr>
          <w:caps w:val="false"/>
          <w:smallCaps w:val="false"/>
        </w:rPr>
      </w:pPr>
      <w:r>
        <w:rPr>
          <w:caps w:val="false"/>
          <w:smallCaps w:val="false"/>
        </w:rPr>
        <w:t> </w:t>
      </w:r>
    </w:p>
    <w:p>
      <w:pPr>
        <w:pStyle w:val="TextBody"/>
        <w:bidi w:val="0"/>
        <w:spacing w:before="0" w:after="0"/>
        <w:ind w:left="0" w:right="0" w:firstLine="1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owner</w:t>
      </w:r>
      <w:r>
        <w:rPr>
          <w:rFonts w:ascii="Times New Roman;Times;Serif" w:hAnsi="Times New Roman;Times;Serif"/>
          <w:b w:val="false"/>
          <w:i w:val="false"/>
          <w:caps w:val="false"/>
          <w:smallCaps w:val="false"/>
          <w:sz w:val="20"/>
        </w:rPr>
        <w:t>,” including the terms “</w:t>
      </w:r>
      <w:r>
        <w:rPr>
          <w:rFonts w:ascii="Times New Roman;Times;Serif" w:hAnsi="Times New Roman;Times;Serif"/>
          <w:b/>
          <w:i/>
          <w:caps w:val="false"/>
          <w:smallCaps w:val="false"/>
          <w:sz w:val="20"/>
        </w:rPr>
        <w:t>own</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owned</w:t>
      </w:r>
      <w:r>
        <w:rPr>
          <w:rFonts w:ascii="Times New Roman;Times;Serif" w:hAnsi="Times New Roman;Times;Serif"/>
          <w:b w:val="false"/>
          <w:i w:val="false"/>
          <w:caps w:val="false"/>
          <w:smallCaps w:val="false"/>
          <w:sz w:val="20"/>
        </w:rPr>
        <w:t>,” when used with respect to any stock, means a Person that individually or with or through any of its Affiliates:</w:t>
      </w:r>
    </w:p>
    <w:p>
      <w:pPr>
        <w:pStyle w:val="TextBody"/>
        <w:bidi w:val="0"/>
        <w:spacing w:before="0" w:after="0"/>
        <w:ind w:left="0" w:right="0" w:firstLine="1900"/>
        <w:jc w:val="both"/>
        <w:rPr>
          <w:caps w:val="false"/>
          <w:smallCaps w:val="false"/>
        </w:rPr>
      </w:pPr>
      <w:r>
        <w:rPr>
          <w:caps w:val="false"/>
          <w:smallCaps w:val="false"/>
        </w:rPr>
        <w:t> </w:t>
      </w:r>
    </w:p>
    <w:p>
      <w:pPr>
        <w:pStyle w:val="TextBody"/>
        <w:bidi w:val="0"/>
        <w:spacing w:before="0" w:after="0"/>
        <w:ind w:left="0" w:right="0" w:firstLine="1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beneficially owns such stock, directly or indirectly; or</w:t>
      </w:r>
    </w:p>
    <w:p>
      <w:pPr>
        <w:pStyle w:val="TextBody"/>
        <w:bidi w:val="0"/>
        <w:spacing w:before="0" w:after="0"/>
        <w:ind w:left="0" w:right="0" w:firstLine="1900"/>
        <w:jc w:val="both"/>
        <w:rPr>
          <w:caps w:val="false"/>
          <w:smallCaps w:val="false"/>
        </w:rPr>
      </w:pPr>
      <w:r>
        <w:rPr>
          <w:caps w:val="false"/>
          <w:smallCaps w:val="false"/>
        </w:rPr>
        <w:t> </w:t>
      </w:r>
    </w:p>
    <w:p>
      <w:pPr>
        <w:pStyle w:val="TextBody"/>
        <w:bidi w:val="0"/>
        <w:spacing w:before="0" w:after="0"/>
        <w:ind w:left="0" w:right="0" w:firstLine="1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Person shall not be deemed the owner of stock tendered pursuant to a tender or exchange offer made by such Person or any of such Person’s Affiliates until such tendered stock is accepted for purchase or exchange; or (b) the right to vote such stock pursuant to any agreement, arrangement or understanding;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pStyle w:val="TextBody"/>
        <w:bidi w:val="0"/>
        <w:spacing w:before="0" w:after="0"/>
        <w:ind w:left="0" w:right="0" w:firstLine="1900"/>
        <w:jc w:val="both"/>
        <w:rPr>
          <w:caps w:val="false"/>
          <w:smallCaps w:val="false"/>
        </w:rPr>
      </w:pPr>
      <w:r>
        <w:rPr>
          <w:caps w:val="false"/>
          <w:smallCaps w:val="false"/>
        </w:rPr>
        <w:t> </w:t>
      </w:r>
    </w:p>
    <w:p>
      <w:pPr>
        <w:pStyle w:val="TextBody"/>
        <w:bidi w:val="0"/>
        <w:spacing w:before="0" w:after="0"/>
        <w:ind w:left="0" w:right="0" w:firstLine="190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900"/>
        <w:jc w:val="both"/>
        <w:rPr>
          <w:caps w:val="false"/>
          <w:smallCaps w:val="false"/>
        </w:rPr>
      </w:pPr>
      <w:r>
        <w:rPr>
          <w:caps w:val="false"/>
          <w:smallCaps w:val="false"/>
        </w:rPr>
        <w:t> </w:t>
      </w:r>
    </w:p>
    <w:p>
      <w:pPr>
        <w:pStyle w:val="TextBody"/>
        <w:bidi w:val="0"/>
        <w:spacing w:before="0" w:after="0"/>
        <w:ind w:left="0" w:right="0" w:firstLine="1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has any agreement, arrangement or understanding, for the purpose of acquiring, holding, voting (except voting pursuant to a revocable proxy or consent as described in item (b) of subsection (ii) above), or disposing such stock, with any other Person that beneficially owns, or whose Affiliates beneficially own, directly or indirectly, such stock.</w:t>
      </w:r>
    </w:p>
    <w:p>
      <w:pPr>
        <w:pStyle w:val="TextBody"/>
        <w:bidi w:val="0"/>
        <w:spacing w:before="0" w:after="0"/>
        <w:ind w:left="0" w:right="0" w:firstLine="1380"/>
        <w:jc w:val="both"/>
        <w:rPr>
          <w:caps w:val="false"/>
          <w:smallCaps w:val="false"/>
        </w:rPr>
      </w:pPr>
      <w:r>
        <w:rPr>
          <w:caps w:val="false"/>
          <w:smallCaps w:val="false"/>
        </w:rPr>
        <w:t> </w:t>
      </w:r>
    </w:p>
    <w:p>
      <w:pPr>
        <w:pStyle w:val="TextBody"/>
        <w:bidi w:val="0"/>
        <w:spacing w:before="0" w:after="0"/>
        <w:ind w:left="0" w:right="0" w:firstLine="1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unincorporated association or other entity.</w:t>
      </w:r>
    </w:p>
    <w:p>
      <w:pPr>
        <w:pStyle w:val="TextBody"/>
        <w:bidi w:val="0"/>
        <w:spacing w:before="0" w:after="0"/>
        <w:ind w:left="0" w:right="0" w:firstLine="1380"/>
        <w:jc w:val="both"/>
        <w:rPr>
          <w:caps w:val="false"/>
          <w:smallCaps w:val="false"/>
        </w:rPr>
      </w:pPr>
      <w:r>
        <w:rPr>
          <w:caps w:val="false"/>
          <w:smallCaps w:val="false"/>
        </w:rPr>
        <w:t> </w:t>
      </w:r>
    </w:p>
    <w:p>
      <w:pPr>
        <w:pStyle w:val="TextBody"/>
        <w:bidi w:val="0"/>
        <w:spacing w:before="0" w:after="0"/>
        <w:ind w:left="0" w:right="0" w:firstLine="1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 and applicable rules and regulations promulgated thereunder, and any successor to such statute, rules or regulations.</w:t>
      </w:r>
    </w:p>
    <w:p>
      <w:pPr>
        <w:pStyle w:val="TextBody"/>
        <w:bidi w:val="0"/>
        <w:spacing w:before="0" w:after="0"/>
        <w:ind w:left="0" w:right="0" w:firstLine="1380"/>
        <w:jc w:val="both"/>
        <w:rPr>
          <w:caps w:val="false"/>
          <w:smallCaps w:val="false"/>
        </w:rPr>
      </w:pPr>
      <w:r>
        <w:rPr>
          <w:caps w:val="false"/>
          <w:smallCaps w:val="false"/>
        </w:rPr>
        <w:t> </w:t>
      </w:r>
    </w:p>
    <w:p>
      <w:pPr>
        <w:pStyle w:val="TextBody"/>
        <w:bidi w:val="0"/>
        <w:spacing w:before="0" w:after="0"/>
        <w:ind w:left="0" w:right="0" w:firstLine="1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stock</w:t>
      </w:r>
      <w:r>
        <w:rPr>
          <w:rFonts w:ascii="Times New Roman;Times;Serif" w:hAnsi="Times New Roman;Times;Serif"/>
          <w:b w:val="false"/>
          <w:i w:val="false"/>
          <w:caps w:val="false"/>
          <w:smallCaps w:val="false"/>
          <w:sz w:val="20"/>
        </w:rPr>
        <w:t>” means, with respect to any corporation, capital stock and, with respect to any other entity, any equity interest.</w:t>
      </w:r>
    </w:p>
    <w:p>
      <w:pPr>
        <w:pStyle w:val="TextBody"/>
        <w:bidi w:val="0"/>
        <w:spacing w:before="0" w:after="0"/>
        <w:ind w:left="0" w:right="0" w:firstLine="1380"/>
        <w:jc w:val="both"/>
        <w:rPr>
          <w:caps w:val="false"/>
          <w:smallCaps w:val="false"/>
        </w:rPr>
      </w:pPr>
      <w:r>
        <w:rPr>
          <w:caps w:val="false"/>
          <w:smallCaps w:val="false"/>
        </w:rPr>
        <w:t> </w:t>
      </w:r>
    </w:p>
    <w:p>
      <w:pPr>
        <w:pStyle w:val="TextBody"/>
        <w:bidi w:val="0"/>
        <w:spacing w:before="0" w:after="0"/>
        <w:ind w:left="0" w:right="0" w:firstLine="1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caps w:val="false"/>
          <w:smallCaps w:val="false"/>
          <w:sz w:val="20"/>
        </w:rPr>
        <w:t>voting stock</w:t>
      </w:r>
      <w:r>
        <w:rPr>
          <w:rFonts w:ascii="Times New Roman;Times;Serif" w:hAnsi="Times New Roman;Times;Serif"/>
          <w:b w:val="false"/>
          <w:i w:val="false"/>
          <w:caps w:val="false"/>
          <w:smallCaps w:val="false"/>
          <w:sz w:val="20"/>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XV.</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mailing address of the sole incorporator is as follows:</w:t>
      </w:r>
    </w:p>
    <w:p>
      <w:pPr>
        <w:pStyle w:val="TextBody"/>
        <w:bidi w:val="0"/>
        <w:spacing w:before="0" w:after="0"/>
        <w:ind w:left="1080" w:right="0" w:hanging="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340"/>
        <w:gridCol w:w="4835"/>
      </w:tblGrid>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both"/>
              <w:rPr>
                <w:sz w:val="20"/>
              </w:rPr>
            </w:pPr>
            <w:r>
              <w:rPr>
                <w:sz w:val="20"/>
              </w:rPr>
              <w:t xml:space="preserve">Michael Blitzer </w:t>
            </w:r>
          </w:p>
        </w:tc>
        <w:tc>
          <w:tcPr>
            <w:tcW w:w="4835" w:type="dxa"/>
            <w:tcBorders/>
            <w:vAlign w:val="center"/>
          </w:tcPr>
          <w:p>
            <w:pPr>
              <w:pStyle w:val="TableContents"/>
              <w:bidi w:val="0"/>
              <w:spacing w:before="0" w:after="283"/>
              <w:jc w:val="both"/>
              <w:rPr>
                <w:sz w:val="20"/>
              </w:rPr>
            </w:pPr>
            <w:r>
              <w:rPr>
                <w:sz w:val="20"/>
              </w:rPr>
              <w:t>1345 Avenue of the Americas, FL 47, New York, NY 10105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Incorporation to be signed on this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firstLine="72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710"/>
        <w:gridCol w:w="1760"/>
      </w:tblGrid>
      <w:tr>
        <w:trPr/>
        <w:tc>
          <w:tcPr>
            <w:tcW w:w="7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left"/>
              <w:rPr>
                <w:b/>
              </w:rPr>
            </w:pPr>
            <w:r>
              <w:rPr>
                <w:b/>
              </w:rPr>
              <w:t>MERLIN,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1760" w:type="dxa"/>
            <w:tcBorders>
              <w:bottom w:val="single" w:sz="12" w:space="0" w:color="000000"/>
            </w:tcBorders>
            <w:tcMar>
              <w:bottom w:w="28" w:type="dxa"/>
            </w:tcMar>
            <w:vAlign w:val="center"/>
          </w:tcPr>
          <w:p>
            <w:pPr>
              <w:pStyle w:val="TableContents"/>
              <w:bidi w:val="0"/>
              <w:spacing w:before="0" w:after="283"/>
              <w:jc w:val="left"/>
              <w:rPr/>
            </w:pPr>
            <w:r>
              <w:rPr/>
              <w:t>/s/ Michael Blitzer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1760" w:type="dxa"/>
            <w:tcBorders/>
            <w:vAlign w:val="center"/>
          </w:tcPr>
          <w:p>
            <w:pPr>
              <w:pStyle w:val="TableContents"/>
              <w:bidi w:val="0"/>
              <w:spacing w:before="0" w:after="283"/>
              <w:jc w:val="left"/>
              <w:rPr/>
            </w:pPr>
            <w:r>
              <w:rPr/>
              <w:t>Michael Blitzer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1760" w:type="dxa"/>
            <w:tcBorders/>
            <w:vAlign w:val="center"/>
          </w:tcPr>
          <w:p>
            <w:pPr>
              <w:pStyle w:val="TableContents"/>
              <w:bidi w:val="0"/>
              <w:spacing w:before="0" w:after="283"/>
              <w:jc w:val="left"/>
              <w:rPr/>
            </w:pPr>
            <w:r>
              <w:rPr/>
              <w:t>Incorporator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TextBody"/>
        <w:bidi w:val="0"/>
        <w:ind w:left="4320" w:right="0" w:hanging="0"/>
        <w:jc w:val="left"/>
        <w:rPr>
          <w:bdr w:val="single" w:sz="12" w:space="1" w:color="000000"/>
        </w:rPr>
      </w:pPr>
      <w:r>
        <w:rPr>
          <w:bdr w:val="single" w:sz="12" w:space="1" w:color="000000"/>
        </w:rPr>
        <w:t> </w:t>
      </w:r>
    </w:p>
    <w:p>
      <w:pPr>
        <w:pStyle w:val="TextBody"/>
        <w:bidi w:val="0"/>
        <w:ind w:left="0" w:right="0" w:hanging="0"/>
        <w:jc w:val="right"/>
        <w:rPr>
          <w:rFonts w:ascii="Times New Roman;Times;Serif" w:hAnsi="Times New Roman;Times;Serif"/>
          <w:b/>
          <w:i w:val="false"/>
          <w:caps w:val="false"/>
          <w:smallCaps w:val="false"/>
          <w:sz w:val="20"/>
        </w:rPr>
      </w:pPr>
      <w:bookmarkStart w:id="38" w:name="ea028257401ex3-3.htm"/>
      <w:bookmarkStart w:id="39" w:name="ksea028257401ex33"/>
      <w:bookmarkEnd w:id="38"/>
      <w:bookmarkEnd w:id="39"/>
      <w:r>
        <w:rPr>
          <w:rFonts w:ascii="Times New Roman;Times;Serif" w:hAnsi="Times New Roman;Times;Serif"/>
          <w:b/>
          <w:i w:val="false"/>
          <w:caps w:val="false"/>
          <w:smallCaps w:val="false"/>
          <w:sz w:val="20"/>
        </w:rPr>
        <w:t>Exhibit 3.3</w:t>
      </w:r>
      <w:r>
        <w:br w:type="page"/>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March 13, 2026</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jc w:val="right"/>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1220"/>
        <w:gridCol w:w="6410"/>
        <w:gridCol w:w="530"/>
      </w:tblGrid>
      <w:tr>
        <w:trPr/>
        <w:tc>
          <w:tcPr>
            <w:tcW w:w="1220" w:type="dxa"/>
            <w:tcBorders/>
            <w:vAlign w:val="center"/>
          </w:tcPr>
          <w:p>
            <w:pPr>
              <w:pStyle w:val="TableContents"/>
              <w:bidi w:val="0"/>
              <w:spacing w:before="0" w:after="283"/>
              <w:jc w:val="left"/>
              <w:rPr>
                <w:sz w:val="4"/>
                <w:szCs w:val="4"/>
              </w:rPr>
            </w:pPr>
            <w:r>
              <w:rPr>
                <w:sz w:val="4"/>
                <w:szCs w:val="4"/>
              </w:rPr>
            </w:r>
          </w:p>
        </w:tc>
        <w:tc>
          <w:tcPr>
            <w:tcW w:w="6410" w:type="dxa"/>
            <w:tcBorders/>
            <w:vAlign w:val="center"/>
          </w:tcPr>
          <w:p>
            <w:pPr>
              <w:pStyle w:val="TableContents"/>
              <w:bidi w:val="0"/>
              <w:spacing w:before="0" w:after="283"/>
              <w:jc w:val="righ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1220" w:type="dxa"/>
            <w:tcBorders/>
            <w:vAlign w:val="center"/>
          </w:tcPr>
          <w:p>
            <w:pPr>
              <w:pStyle w:val="TableContents"/>
              <w:bidi w:val="0"/>
              <w:spacing w:before="0" w:after="283"/>
              <w:jc w:val="left"/>
              <w:rPr/>
            </w:pPr>
            <w:r>
              <w:rPr/>
              <w:t> </w:t>
            </w:r>
          </w:p>
        </w:tc>
        <w:tc>
          <w:tcPr>
            <w:tcW w:w="641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7630" w:type="dxa"/>
            <w:gridSpan w:val="2"/>
            <w:tcBorders/>
            <w:shd w:fill="CCEEFF" w:val="clear"/>
            <w:vAlign w:val="center"/>
          </w:tcPr>
          <w:p>
            <w:pPr>
              <w:pStyle w:val="TableContents"/>
              <w:bidi w:val="0"/>
              <w:spacing w:before="0" w:after="283"/>
              <w:jc w:val="left"/>
              <w:rPr/>
            </w:pPr>
            <w:r>
              <w:rPr/>
              <w:t xml:space="preserve">ARTICLE I. CORPORATE OFFICERS </w:t>
            </w:r>
          </w:p>
        </w:tc>
        <w:tc>
          <w:tcPr>
            <w:tcW w:w="530" w:type="dxa"/>
            <w:tcBorders/>
            <w:shd w:fill="CCEEFF" w:val="clear"/>
            <w:vAlign w:val="center"/>
          </w:tcPr>
          <w:p>
            <w:pPr>
              <w:pStyle w:val="TableContents"/>
              <w:bidi w:val="0"/>
              <w:spacing w:before="0" w:after="283"/>
              <w:jc w:val="center"/>
              <w:rPr/>
            </w:pPr>
            <w:r>
              <w:rPr/>
              <w:t>1</w:t>
            </w:r>
          </w:p>
        </w:tc>
      </w:tr>
      <w:tr>
        <w:trPr/>
        <w:tc>
          <w:tcPr>
            <w:tcW w:w="1220" w:type="dxa"/>
            <w:tcBorders/>
            <w:shd w:fill="FFFFFF" w:val="clear"/>
            <w:vAlign w:val="center"/>
          </w:tcPr>
          <w:p>
            <w:pPr>
              <w:pStyle w:val="TableContents"/>
              <w:bidi w:val="0"/>
              <w:spacing w:before="0" w:after="283"/>
              <w:jc w:val="left"/>
              <w:rPr/>
            </w:pPr>
            <w:r>
              <w:rPr/>
              <w:t> </w:t>
            </w:r>
          </w:p>
        </w:tc>
        <w:tc>
          <w:tcPr>
            <w:tcW w:w="64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left"/>
              <w:rPr/>
            </w:pPr>
            <w:r>
              <w:rPr/>
              <w:t>Section 1.01</w:t>
            </w:r>
          </w:p>
        </w:tc>
        <w:tc>
          <w:tcPr>
            <w:tcW w:w="6410" w:type="dxa"/>
            <w:tcBorders/>
            <w:shd w:fill="CCEEFF" w:val="clear"/>
            <w:vAlign w:val="center"/>
          </w:tcPr>
          <w:p>
            <w:pPr>
              <w:pStyle w:val="TableContents"/>
              <w:bidi w:val="0"/>
              <w:spacing w:before="0" w:after="283"/>
              <w:jc w:val="left"/>
              <w:rPr/>
            </w:pPr>
            <w:r>
              <w:rPr/>
              <w:t>Registered Office</w:t>
            </w:r>
          </w:p>
        </w:tc>
        <w:tc>
          <w:tcPr>
            <w:tcW w:w="530" w:type="dxa"/>
            <w:tcBorders/>
            <w:shd w:fill="CCEEFF" w:val="clear"/>
            <w:vAlign w:val="center"/>
          </w:tcPr>
          <w:p>
            <w:pPr>
              <w:pStyle w:val="TableContents"/>
              <w:bidi w:val="0"/>
              <w:spacing w:before="0" w:after="283"/>
              <w:jc w:val="center"/>
              <w:rPr/>
            </w:pPr>
            <w:r>
              <w:rPr/>
              <w:t>1</w:t>
            </w:r>
          </w:p>
        </w:tc>
      </w:tr>
      <w:tr>
        <w:trPr/>
        <w:tc>
          <w:tcPr>
            <w:tcW w:w="1220" w:type="dxa"/>
            <w:tcBorders/>
            <w:shd w:fill="FFFFFF" w:val="clear"/>
            <w:vAlign w:val="center"/>
          </w:tcPr>
          <w:p>
            <w:pPr>
              <w:pStyle w:val="TableContents"/>
              <w:bidi w:val="0"/>
              <w:spacing w:before="0" w:after="283"/>
              <w:jc w:val="left"/>
              <w:rPr/>
            </w:pPr>
            <w:r>
              <w:rPr/>
              <w:t>Section 1.02</w:t>
            </w:r>
          </w:p>
        </w:tc>
        <w:tc>
          <w:tcPr>
            <w:tcW w:w="6410" w:type="dxa"/>
            <w:tcBorders/>
            <w:shd w:fill="FFFFFF" w:val="clear"/>
            <w:vAlign w:val="center"/>
          </w:tcPr>
          <w:p>
            <w:pPr>
              <w:pStyle w:val="TableContents"/>
              <w:bidi w:val="0"/>
              <w:spacing w:before="0" w:after="283"/>
              <w:jc w:val="left"/>
              <w:rPr/>
            </w:pPr>
            <w:r>
              <w:rPr/>
              <w:t>Other Offices</w:t>
            </w:r>
          </w:p>
        </w:tc>
        <w:tc>
          <w:tcPr>
            <w:tcW w:w="530" w:type="dxa"/>
            <w:tcBorders/>
            <w:shd w:fill="FFFFFF" w:val="clear"/>
            <w:vAlign w:val="center"/>
          </w:tcPr>
          <w:p>
            <w:pPr>
              <w:pStyle w:val="TableContents"/>
              <w:bidi w:val="0"/>
              <w:spacing w:before="0" w:after="283"/>
              <w:jc w:val="center"/>
              <w:rPr/>
            </w:pPr>
            <w:r>
              <w:rPr/>
              <w:t>1</w:t>
            </w:r>
          </w:p>
        </w:tc>
      </w:tr>
      <w:tr>
        <w:trPr/>
        <w:tc>
          <w:tcPr>
            <w:tcW w:w="1220" w:type="dxa"/>
            <w:tcBorders/>
            <w:shd w:fill="CCEEFF" w:val="clear"/>
            <w:vAlign w:val="center"/>
          </w:tcPr>
          <w:p>
            <w:pPr>
              <w:pStyle w:val="TableContents"/>
              <w:bidi w:val="0"/>
              <w:spacing w:before="0" w:after="283"/>
              <w:jc w:val="left"/>
              <w:rPr/>
            </w:pPr>
            <w:r>
              <w:rPr/>
              <w:t> </w:t>
            </w:r>
          </w:p>
        </w:tc>
        <w:tc>
          <w:tcPr>
            <w:tcW w:w="641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7630" w:type="dxa"/>
            <w:gridSpan w:val="2"/>
            <w:tcBorders/>
            <w:shd w:fill="FFFFFF" w:val="clear"/>
            <w:vAlign w:val="center"/>
          </w:tcPr>
          <w:p>
            <w:pPr>
              <w:pStyle w:val="TableContents"/>
              <w:bidi w:val="0"/>
              <w:spacing w:before="0" w:after="283"/>
              <w:jc w:val="left"/>
              <w:rPr/>
            </w:pPr>
            <w:r>
              <w:rPr/>
              <w:t xml:space="preserve">ARTICLE II. MEETINGS OF STOCKHOLDERS </w:t>
            </w:r>
          </w:p>
        </w:tc>
        <w:tc>
          <w:tcPr>
            <w:tcW w:w="530" w:type="dxa"/>
            <w:tcBorders/>
            <w:shd w:fill="FFFFFF" w:val="clear"/>
            <w:vAlign w:val="center"/>
          </w:tcPr>
          <w:p>
            <w:pPr>
              <w:pStyle w:val="TableContents"/>
              <w:bidi w:val="0"/>
              <w:spacing w:before="0" w:after="283"/>
              <w:jc w:val="center"/>
              <w:rPr/>
            </w:pPr>
            <w:r>
              <w:rPr/>
              <w:t>1</w:t>
            </w:r>
          </w:p>
        </w:tc>
      </w:tr>
      <w:tr>
        <w:trPr/>
        <w:tc>
          <w:tcPr>
            <w:tcW w:w="1220" w:type="dxa"/>
            <w:tcBorders/>
            <w:shd w:fill="CCEEFF" w:val="clear"/>
            <w:vAlign w:val="center"/>
          </w:tcPr>
          <w:p>
            <w:pPr>
              <w:pStyle w:val="TableContents"/>
              <w:bidi w:val="0"/>
              <w:spacing w:before="0" w:after="283"/>
              <w:jc w:val="left"/>
              <w:rPr/>
            </w:pPr>
            <w:r>
              <w:rPr/>
              <w:t> </w:t>
            </w:r>
          </w:p>
        </w:tc>
        <w:tc>
          <w:tcPr>
            <w:tcW w:w="641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1220" w:type="dxa"/>
            <w:tcBorders/>
            <w:shd w:fill="FFFFFF" w:val="clear"/>
            <w:vAlign w:val="center"/>
          </w:tcPr>
          <w:p>
            <w:pPr>
              <w:pStyle w:val="TableContents"/>
              <w:bidi w:val="0"/>
              <w:spacing w:before="0" w:after="283"/>
              <w:jc w:val="left"/>
              <w:rPr/>
            </w:pPr>
            <w:r>
              <w:rPr/>
              <w:t>Section 2.01</w:t>
            </w:r>
          </w:p>
        </w:tc>
        <w:tc>
          <w:tcPr>
            <w:tcW w:w="6410" w:type="dxa"/>
            <w:tcBorders/>
            <w:shd w:fill="FFFFFF" w:val="clear"/>
            <w:vAlign w:val="center"/>
          </w:tcPr>
          <w:p>
            <w:pPr>
              <w:pStyle w:val="TableContents"/>
              <w:bidi w:val="0"/>
              <w:spacing w:before="0" w:after="283"/>
              <w:jc w:val="left"/>
              <w:rPr/>
            </w:pPr>
            <w:r>
              <w:rPr/>
              <w:t>Place of Meetings</w:t>
            </w:r>
          </w:p>
        </w:tc>
        <w:tc>
          <w:tcPr>
            <w:tcW w:w="530" w:type="dxa"/>
            <w:tcBorders/>
            <w:shd w:fill="FFFFFF" w:val="clear"/>
            <w:vAlign w:val="center"/>
          </w:tcPr>
          <w:p>
            <w:pPr>
              <w:pStyle w:val="TableContents"/>
              <w:bidi w:val="0"/>
              <w:spacing w:before="0" w:after="283"/>
              <w:jc w:val="center"/>
              <w:rPr/>
            </w:pPr>
            <w:r>
              <w:rPr/>
              <w:t>1</w:t>
            </w:r>
          </w:p>
        </w:tc>
      </w:tr>
      <w:tr>
        <w:trPr/>
        <w:tc>
          <w:tcPr>
            <w:tcW w:w="1220" w:type="dxa"/>
            <w:tcBorders/>
            <w:shd w:fill="CCEEFF" w:val="clear"/>
            <w:vAlign w:val="center"/>
          </w:tcPr>
          <w:p>
            <w:pPr>
              <w:pStyle w:val="TableContents"/>
              <w:bidi w:val="0"/>
              <w:spacing w:before="0" w:after="283"/>
              <w:jc w:val="left"/>
              <w:rPr/>
            </w:pPr>
            <w:r>
              <w:rPr/>
              <w:t>Section 2.02</w:t>
            </w:r>
          </w:p>
        </w:tc>
        <w:tc>
          <w:tcPr>
            <w:tcW w:w="6410" w:type="dxa"/>
            <w:tcBorders/>
            <w:shd w:fill="CCEEFF" w:val="clear"/>
            <w:vAlign w:val="center"/>
          </w:tcPr>
          <w:p>
            <w:pPr>
              <w:pStyle w:val="TableContents"/>
              <w:bidi w:val="0"/>
              <w:spacing w:before="0" w:after="283"/>
              <w:jc w:val="left"/>
              <w:rPr/>
            </w:pPr>
            <w:r>
              <w:rPr/>
              <w:t>Annual Meetings</w:t>
            </w:r>
          </w:p>
        </w:tc>
        <w:tc>
          <w:tcPr>
            <w:tcW w:w="530" w:type="dxa"/>
            <w:tcBorders/>
            <w:shd w:fill="CCEEFF" w:val="clear"/>
            <w:vAlign w:val="center"/>
          </w:tcPr>
          <w:p>
            <w:pPr>
              <w:pStyle w:val="TableContents"/>
              <w:bidi w:val="0"/>
              <w:spacing w:before="0" w:after="283"/>
              <w:jc w:val="center"/>
              <w:rPr/>
            </w:pPr>
            <w:r>
              <w:rPr/>
              <w:t>1</w:t>
            </w:r>
          </w:p>
        </w:tc>
      </w:tr>
      <w:tr>
        <w:trPr/>
        <w:tc>
          <w:tcPr>
            <w:tcW w:w="1220" w:type="dxa"/>
            <w:tcBorders/>
            <w:shd w:fill="FFFFFF" w:val="clear"/>
            <w:vAlign w:val="center"/>
          </w:tcPr>
          <w:p>
            <w:pPr>
              <w:pStyle w:val="TableContents"/>
              <w:bidi w:val="0"/>
              <w:spacing w:before="0" w:after="283"/>
              <w:jc w:val="left"/>
              <w:rPr/>
            </w:pPr>
            <w:r>
              <w:rPr/>
              <w:t>Section 2.03</w:t>
            </w:r>
          </w:p>
        </w:tc>
        <w:tc>
          <w:tcPr>
            <w:tcW w:w="6410" w:type="dxa"/>
            <w:tcBorders/>
            <w:shd w:fill="FFFFFF" w:val="clear"/>
            <w:vAlign w:val="center"/>
          </w:tcPr>
          <w:p>
            <w:pPr>
              <w:pStyle w:val="TableContents"/>
              <w:bidi w:val="0"/>
              <w:spacing w:before="0" w:after="283"/>
              <w:jc w:val="left"/>
              <w:rPr/>
            </w:pPr>
            <w:r>
              <w:rPr/>
              <w:t>Special Meetings</w:t>
            </w:r>
          </w:p>
        </w:tc>
        <w:tc>
          <w:tcPr>
            <w:tcW w:w="530" w:type="dxa"/>
            <w:tcBorders/>
            <w:shd w:fill="FFFFFF" w:val="clear"/>
            <w:vAlign w:val="center"/>
          </w:tcPr>
          <w:p>
            <w:pPr>
              <w:pStyle w:val="TableContents"/>
              <w:bidi w:val="0"/>
              <w:spacing w:before="0" w:after="283"/>
              <w:jc w:val="center"/>
              <w:rPr/>
            </w:pPr>
            <w:r>
              <w:rPr/>
              <w:t>1</w:t>
            </w:r>
          </w:p>
        </w:tc>
      </w:tr>
      <w:tr>
        <w:trPr/>
        <w:tc>
          <w:tcPr>
            <w:tcW w:w="1220" w:type="dxa"/>
            <w:tcBorders/>
            <w:shd w:fill="CCEEFF" w:val="clear"/>
            <w:vAlign w:val="center"/>
          </w:tcPr>
          <w:p>
            <w:pPr>
              <w:pStyle w:val="TableContents"/>
              <w:bidi w:val="0"/>
              <w:spacing w:before="0" w:after="283"/>
              <w:jc w:val="left"/>
              <w:rPr/>
            </w:pPr>
            <w:r>
              <w:rPr/>
              <w:t>Section 2.04</w:t>
            </w:r>
          </w:p>
        </w:tc>
        <w:tc>
          <w:tcPr>
            <w:tcW w:w="6410" w:type="dxa"/>
            <w:tcBorders/>
            <w:shd w:fill="CCEEFF" w:val="clear"/>
            <w:vAlign w:val="center"/>
          </w:tcPr>
          <w:p>
            <w:pPr>
              <w:pStyle w:val="TableContents"/>
              <w:bidi w:val="0"/>
              <w:spacing w:before="0" w:after="283"/>
              <w:jc w:val="left"/>
              <w:rPr/>
            </w:pPr>
            <w:r>
              <w:rPr/>
              <w:t>Notice of Meetings</w:t>
            </w:r>
          </w:p>
        </w:tc>
        <w:tc>
          <w:tcPr>
            <w:tcW w:w="530" w:type="dxa"/>
            <w:tcBorders/>
            <w:shd w:fill="CCEEFF" w:val="clear"/>
            <w:vAlign w:val="center"/>
          </w:tcPr>
          <w:p>
            <w:pPr>
              <w:pStyle w:val="TableContents"/>
              <w:bidi w:val="0"/>
              <w:spacing w:before="0" w:after="283"/>
              <w:jc w:val="center"/>
              <w:rPr/>
            </w:pPr>
            <w:r>
              <w:rPr/>
              <w:t>1</w:t>
            </w:r>
          </w:p>
        </w:tc>
      </w:tr>
      <w:tr>
        <w:trPr/>
        <w:tc>
          <w:tcPr>
            <w:tcW w:w="1220" w:type="dxa"/>
            <w:tcBorders/>
            <w:shd w:fill="FFFFFF" w:val="clear"/>
            <w:vAlign w:val="center"/>
          </w:tcPr>
          <w:p>
            <w:pPr>
              <w:pStyle w:val="TableContents"/>
              <w:bidi w:val="0"/>
              <w:spacing w:before="0" w:after="283"/>
              <w:jc w:val="left"/>
              <w:rPr/>
            </w:pPr>
            <w:r>
              <w:rPr/>
              <w:t>Section 2.05</w:t>
            </w:r>
          </w:p>
        </w:tc>
        <w:tc>
          <w:tcPr>
            <w:tcW w:w="6410" w:type="dxa"/>
            <w:tcBorders/>
            <w:shd w:fill="FFFFFF" w:val="clear"/>
            <w:vAlign w:val="center"/>
          </w:tcPr>
          <w:p>
            <w:pPr>
              <w:pStyle w:val="TableContents"/>
              <w:bidi w:val="0"/>
              <w:spacing w:before="0" w:after="283"/>
              <w:jc w:val="left"/>
              <w:rPr/>
            </w:pPr>
            <w:r>
              <w:rPr/>
              <w:t>Adjournments</w:t>
            </w:r>
          </w:p>
        </w:tc>
        <w:tc>
          <w:tcPr>
            <w:tcW w:w="530" w:type="dxa"/>
            <w:tcBorders/>
            <w:shd w:fill="FFFFFF" w:val="clear"/>
            <w:vAlign w:val="center"/>
          </w:tcPr>
          <w:p>
            <w:pPr>
              <w:pStyle w:val="TableContents"/>
              <w:bidi w:val="0"/>
              <w:spacing w:before="0" w:after="283"/>
              <w:jc w:val="center"/>
              <w:rPr/>
            </w:pPr>
            <w:r>
              <w:rPr/>
              <w:t>2</w:t>
            </w:r>
          </w:p>
        </w:tc>
      </w:tr>
      <w:tr>
        <w:trPr/>
        <w:tc>
          <w:tcPr>
            <w:tcW w:w="1220" w:type="dxa"/>
            <w:tcBorders/>
            <w:shd w:fill="CCEEFF" w:val="clear"/>
            <w:vAlign w:val="center"/>
          </w:tcPr>
          <w:p>
            <w:pPr>
              <w:pStyle w:val="TableContents"/>
              <w:bidi w:val="0"/>
              <w:spacing w:before="0" w:after="283"/>
              <w:jc w:val="left"/>
              <w:rPr/>
            </w:pPr>
            <w:r>
              <w:rPr/>
              <w:t>Section 2.06</w:t>
            </w:r>
          </w:p>
        </w:tc>
        <w:tc>
          <w:tcPr>
            <w:tcW w:w="6410" w:type="dxa"/>
            <w:tcBorders/>
            <w:shd w:fill="CCEEFF" w:val="clear"/>
            <w:vAlign w:val="center"/>
          </w:tcPr>
          <w:p>
            <w:pPr>
              <w:pStyle w:val="TableContents"/>
              <w:bidi w:val="0"/>
              <w:spacing w:before="0" w:after="283"/>
              <w:jc w:val="left"/>
              <w:rPr/>
            </w:pPr>
            <w:r>
              <w:rPr/>
              <w:t>Quorum</w:t>
            </w:r>
          </w:p>
        </w:tc>
        <w:tc>
          <w:tcPr>
            <w:tcW w:w="530" w:type="dxa"/>
            <w:tcBorders/>
            <w:shd w:fill="CCEEFF" w:val="clear"/>
            <w:vAlign w:val="center"/>
          </w:tcPr>
          <w:p>
            <w:pPr>
              <w:pStyle w:val="TableContents"/>
              <w:bidi w:val="0"/>
              <w:spacing w:before="0" w:after="283"/>
              <w:jc w:val="center"/>
              <w:rPr/>
            </w:pPr>
            <w:r>
              <w:rPr/>
              <w:t>2</w:t>
            </w:r>
          </w:p>
        </w:tc>
      </w:tr>
      <w:tr>
        <w:trPr/>
        <w:tc>
          <w:tcPr>
            <w:tcW w:w="1220" w:type="dxa"/>
            <w:tcBorders/>
            <w:shd w:fill="FFFFFF" w:val="clear"/>
            <w:vAlign w:val="center"/>
          </w:tcPr>
          <w:p>
            <w:pPr>
              <w:pStyle w:val="TableContents"/>
              <w:bidi w:val="0"/>
              <w:spacing w:before="0" w:after="283"/>
              <w:jc w:val="left"/>
              <w:rPr/>
            </w:pPr>
            <w:r>
              <w:rPr/>
              <w:t>Section 2.07</w:t>
            </w:r>
          </w:p>
        </w:tc>
        <w:tc>
          <w:tcPr>
            <w:tcW w:w="6410" w:type="dxa"/>
            <w:tcBorders/>
            <w:shd w:fill="FFFFFF" w:val="clear"/>
            <w:vAlign w:val="center"/>
          </w:tcPr>
          <w:p>
            <w:pPr>
              <w:pStyle w:val="TableContents"/>
              <w:bidi w:val="0"/>
              <w:spacing w:before="0" w:after="283"/>
              <w:jc w:val="left"/>
              <w:rPr/>
            </w:pPr>
            <w:r>
              <w:rPr/>
              <w:t>Organization</w:t>
            </w:r>
          </w:p>
        </w:tc>
        <w:tc>
          <w:tcPr>
            <w:tcW w:w="530" w:type="dxa"/>
            <w:tcBorders/>
            <w:shd w:fill="FFFFFF" w:val="clear"/>
            <w:vAlign w:val="center"/>
          </w:tcPr>
          <w:p>
            <w:pPr>
              <w:pStyle w:val="TableContents"/>
              <w:bidi w:val="0"/>
              <w:spacing w:before="0" w:after="283"/>
              <w:jc w:val="center"/>
              <w:rPr/>
            </w:pPr>
            <w:r>
              <w:rPr/>
              <w:t>3</w:t>
            </w:r>
          </w:p>
        </w:tc>
      </w:tr>
      <w:tr>
        <w:trPr/>
        <w:tc>
          <w:tcPr>
            <w:tcW w:w="1220" w:type="dxa"/>
            <w:tcBorders/>
            <w:shd w:fill="CCEEFF" w:val="clear"/>
            <w:vAlign w:val="center"/>
          </w:tcPr>
          <w:p>
            <w:pPr>
              <w:pStyle w:val="TableContents"/>
              <w:bidi w:val="0"/>
              <w:spacing w:before="0" w:after="283"/>
              <w:jc w:val="left"/>
              <w:rPr/>
            </w:pPr>
            <w:r>
              <w:rPr/>
              <w:t>Section 2.08</w:t>
            </w:r>
          </w:p>
        </w:tc>
        <w:tc>
          <w:tcPr>
            <w:tcW w:w="6410" w:type="dxa"/>
            <w:tcBorders/>
            <w:shd w:fill="CCEEFF" w:val="clear"/>
            <w:vAlign w:val="center"/>
          </w:tcPr>
          <w:p>
            <w:pPr>
              <w:pStyle w:val="TableContents"/>
              <w:bidi w:val="0"/>
              <w:spacing w:before="0" w:after="283"/>
              <w:jc w:val="left"/>
              <w:rPr/>
            </w:pPr>
            <w:r>
              <w:rPr/>
              <w:t>Voting; Proxies</w:t>
            </w:r>
          </w:p>
        </w:tc>
        <w:tc>
          <w:tcPr>
            <w:tcW w:w="530" w:type="dxa"/>
            <w:tcBorders/>
            <w:shd w:fill="CCEEFF" w:val="clear"/>
            <w:vAlign w:val="center"/>
          </w:tcPr>
          <w:p>
            <w:pPr>
              <w:pStyle w:val="TableContents"/>
              <w:bidi w:val="0"/>
              <w:spacing w:before="0" w:after="283"/>
              <w:jc w:val="center"/>
              <w:rPr/>
            </w:pPr>
            <w:r>
              <w:rPr/>
              <w:t>3</w:t>
            </w:r>
          </w:p>
        </w:tc>
      </w:tr>
      <w:tr>
        <w:trPr/>
        <w:tc>
          <w:tcPr>
            <w:tcW w:w="1220" w:type="dxa"/>
            <w:tcBorders/>
            <w:shd w:fill="FFFFFF" w:val="clear"/>
            <w:vAlign w:val="center"/>
          </w:tcPr>
          <w:p>
            <w:pPr>
              <w:pStyle w:val="TableContents"/>
              <w:bidi w:val="0"/>
              <w:spacing w:before="0" w:after="283"/>
              <w:jc w:val="left"/>
              <w:rPr/>
            </w:pPr>
            <w:r>
              <w:rPr/>
              <w:t>Section 2.09</w:t>
            </w:r>
          </w:p>
        </w:tc>
        <w:tc>
          <w:tcPr>
            <w:tcW w:w="6410" w:type="dxa"/>
            <w:tcBorders/>
            <w:shd w:fill="FFFFFF" w:val="clear"/>
            <w:vAlign w:val="center"/>
          </w:tcPr>
          <w:p>
            <w:pPr>
              <w:pStyle w:val="TableContents"/>
              <w:bidi w:val="0"/>
              <w:spacing w:before="0" w:after="283"/>
              <w:jc w:val="left"/>
              <w:rPr/>
            </w:pPr>
            <w:r>
              <w:rPr/>
              <w:t>Fixing Date for Determination of Stockholders of Record</w:t>
            </w:r>
          </w:p>
        </w:tc>
        <w:tc>
          <w:tcPr>
            <w:tcW w:w="530" w:type="dxa"/>
            <w:tcBorders/>
            <w:shd w:fill="FFFFFF" w:val="clear"/>
            <w:vAlign w:val="center"/>
          </w:tcPr>
          <w:p>
            <w:pPr>
              <w:pStyle w:val="TableContents"/>
              <w:bidi w:val="0"/>
              <w:spacing w:before="0" w:after="283"/>
              <w:jc w:val="center"/>
              <w:rPr/>
            </w:pPr>
            <w:r>
              <w:rPr/>
              <w:t>4</w:t>
            </w:r>
          </w:p>
        </w:tc>
      </w:tr>
      <w:tr>
        <w:trPr/>
        <w:tc>
          <w:tcPr>
            <w:tcW w:w="1220" w:type="dxa"/>
            <w:tcBorders/>
            <w:shd w:fill="CCEEFF" w:val="clear"/>
            <w:vAlign w:val="center"/>
          </w:tcPr>
          <w:p>
            <w:pPr>
              <w:pStyle w:val="TableContents"/>
              <w:bidi w:val="0"/>
              <w:spacing w:before="0" w:after="283"/>
              <w:jc w:val="left"/>
              <w:rPr/>
            </w:pPr>
            <w:r>
              <w:rPr/>
              <w:t>Section 2.10</w:t>
            </w:r>
          </w:p>
        </w:tc>
        <w:tc>
          <w:tcPr>
            <w:tcW w:w="6410" w:type="dxa"/>
            <w:tcBorders/>
            <w:shd w:fill="CCEEFF" w:val="clear"/>
            <w:vAlign w:val="center"/>
          </w:tcPr>
          <w:p>
            <w:pPr>
              <w:pStyle w:val="TableContents"/>
              <w:bidi w:val="0"/>
              <w:spacing w:before="0" w:after="283"/>
              <w:jc w:val="left"/>
              <w:rPr/>
            </w:pPr>
            <w:r>
              <w:rPr/>
              <w:t>List of Stockholders Entitled to Vote</w:t>
            </w:r>
          </w:p>
        </w:tc>
        <w:tc>
          <w:tcPr>
            <w:tcW w:w="530" w:type="dxa"/>
            <w:tcBorders/>
            <w:shd w:fill="CCEEFF" w:val="clear"/>
            <w:vAlign w:val="center"/>
          </w:tcPr>
          <w:p>
            <w:pPr>
              <w:pStyle w:val="TableContents"/>
              <w:bidi w:val="0"/>
              <w:spacing w:before="0" w:after="283"/>
              <w:jc w:val="center"/>
              <w:rPr/>
            </w:pPr>
            <w:r>
              <w:rPr/>
              <w:t>4</w:t>
            </w:r>
          </w:p>
        </w:tc>
      </w:tr>
      <w:tr>
        <w:trPr/>
        <w:tc>
          <w:tcPr>
            <w:tcW w:w="1220" w:type="dxa"/>
            <w:tcBorders/>
            <w:shd w:fill="FFFFFF" w:val="clear"/>
            <w:vAlign w:val="center"/>
          </w:tcPr>
          <w:p>
            <w:pPr>
              <w:pStyle w:val="TableContents"/>
              <w:bidi w:val="0"/>
              <w:spacing w:before="0" w:after="283"/>
              <w:jc w:val="left"/>
              <w:rPr/>
            </w:pPr>
            <w:r>
              <w:rPr/>
              <w:t>Section 2.11</w:t>
            </w:r>
          </w:p>
        </w:tc>
        <w:tc>
          <w:tcPr>
            <w:tcW w:w="6410" w:type="dxa"/>
            <w:tcBorders/>
            <w:shd w:fill="FFFFFF" w:val="clear"/>
            <w:vAlign w:val="center"/>
          </w:tcPr>
          <w:p>
            <w:pPr>
              <w:pStyle w:val="TableContents"/>
              <w:bidi w:val="0"/>
              <w:spacing w:before="0" w:after="283"/>
              <w:jc w:val="left"/>
              <w:rPr/>
            </w:pPr>
            <w:r>
              <w:rPr/>
              <w:t>Inspectors of Election</w:t>
            </w:r>
          </w:p>
        </w:tc>
        <w:tc>
          <w:tcPr>
            <w:tcW w:w="530" w:type="dxa"/>
            <w:tcBorders/>
            <w:shd w:fill="FFFFFF" w:val="clear"/>
            <w:vAlign w:val="center"/>
          </w:tcPr>
          <w:p>
            <w:pPr>
              <w:pStyle w:val="TableContents"/>
              <w:bidi w:val="0"/>
              <w:spacing w:before="0" w:after="283"/>
              <w:jc w:val="center"/>
              <w:rPr/>
            </w:pPr>
            <w:r>
              <w:rPr/>
              <w:t>5</w:t>
            </w:r>
          </w:p>
        </w:tc>
      </w:tr>
      <w:tr>
        <w:trPr/>
        <w:tc>
          <w:tcPr>
            <w:tcW w:w="1220" w:type="dxa"/>
            <w:tcBorders/>
            <w:shd w:fill="CCEEFF" w:val="clear"/>
            <w:vAlign w:val="center"/>
          </w:tcPr>
          <w:p>
            <w:pPr>
              <w:pStyle w:val="TableContents"/>
              <w:bidi w:val="0"/>
              <w:spacing w:before="0" w:after="283"/>
              <w:jc w:val="left"/>
              <w:rPr/>
            </w:pPr>
            <w:r>
              <w:rPr/>
              <w:t>Section 2.12</w:t>
            </w:r>
          </w:p>
        </w:tc>
        <w:tc>
          <w:tcPr>
            <w:tcW w:w="6410" w:type="dxa"/>
            <w:tcBorders/>
            <w:shd w:fill="CCEEFF" w:val="clear"/>
            <w:vAlign w:val="center"/>
          </w:tcPr>
          <w:p>
            <w:pPr>
              <w:pStyle w:val="TableContents"/>
              <w:bidi w:val="0"/>
              <w:spacing w:before="0" w:after="283"/>
              <w:jc w:val="left"/>
              <w:rPr/>
            </w:pPr>
            <w:r>
              <w:rPr/>
              <w:t>Conduct of Meetings</w:t>
            </w:r>
          </w:p>
        </w:tc>
        <w:tc>
          <w:tcPr>
            <w:tcW w:w="530" w:type="dxa"/>
            <w:tcBorders/>
            <w:shd w:fill="CCEEFF" w:val="clear"/>
            <w:vAlign w:val="center"/>
          </w:tcPr>
          <w:p>
            <w:pPr>
              <w:pStyle w:val="TableContents"/>
              <w:bidi w:val="0"/>
              <w:spacing w:before="0" w:after="283"/>
              <w:jc w:val="center"/>
              <w:rPr/>
            </w:pPr>
            <w:r>
              <w:rPr/>
              <w:t>5</w:t>
            </w:r>
          </w:p>
        </w:tc>
      </w:tr>
      <w:tr>
        <w:trPr/>
        <w:tc>
          <w:tcPr>
            <w:tcW w:w="1220" w:type="dxa"/>
            <w:tcBorders/>
            <w:shd w:fill="FFFFFF" w:val="clear"/>
            <w:vAlign w:val="center"/>
          </w:tcPr>
          <w:p>
            <w:pPr>
              <w:pStyle w:val="TableContents"/>
              <w:bidi w:val="0"/>
              <w:spacing w:before="0" w:after="283"/>
              <w:jc w:val="left"/>
              <w:rPr/>
            </w:pPr>
            <w:r>
              <w:rPr/>
              <w:t>Section 2.13</w:t>
            </w:r>
          </w:p>
        </w:tc>
        <w:tc>
          <w:tcPr>
            <w:tcW w:w="6410" w:type="dxa"/>
            <w:tcBorders/>
            <w:shd w:fill="FFFFFF" w:val="clear"/>
            <w:vAlign w:val="center"/>
          </w:tcPr>
          <w:p>
            <w:pPr>
              <w:pStyle w:val="TableContents"/>
              <w:bidi w:val="0"/>
              <w:spacing w:before="0" w:after="283"/>
              <w:jc w:val="left"/>
              <w:rPr/>
            </w:pPr>
            <w:r>
              <w:rPr/>
              <w:t>Advance Notice Procedures for Business Brought before a Meeting</w:t>
            </w:r>
          </w:p>
        </w:tc>
        <w:tc>
          <w:tcPr>
            <w:tcW w:w="530" w:type="dxa"/>
            <w:tcBorders/>
            <w:shd w:fill="FFFFFF" w:val="clear"/>
            <w:vAlign w:val="center"/>
          </w:tcPr>
          <w:p>
            <w:pPr>
              <w:pStyle w:val="TableContents"/>
              <w:bidi w:val="0"/>
              <w:spacing w:before="0" w:after="283"/>
              <w:jc w:val="center"/>
              <w:rPr/>
            </w:pPr>
            <w:r>
              <w:rPr/>
              <w:t>6</w:t>
            </w:r>
          </w:p>
        </w:tc>
      </w:tr>
      <w:tr>
        <w:trPr/>
        <w:tc>
          <w:tcPr>
            <w:tcW w:w="1220" w:type="dxa"/>
            <w:tcBorders/>
            <w:shd w:fill="CCEEFF" w:val="clear"/>
            <w:vAlign w:val="center"/>
          </w:tcPr>
          <w:p>
            <w:pPr>
              <w:pStyle w:val="TableContents"/>
              <w:bidi w:val="0"/>
              <w:spacing w:before="0" w:after="283"/>
              <w:jc w:val="left"/>
              <w:rPr/>
            </w:pPr>
            <w:r>
              <w:rPr/>
              <w:t>Section 2.14</w:t>
            </w:r>
          </w:p>
        </w:tc>
        <w:tc>
          <w:tcPr>
            <w:tcW w:w="6410" w:type="dxa"/>
            <w:tcBorders/>
            <w:shd w:fill="CCEEFF" w:val="clear"/>
            <w:vAlign w:val="center"/>
          </w:tcPr>
          <w:p>
            <w:pPr>
              <w:pStyle w:val="TableContents"/>
              <w:bidi w:val="0"/>
              <w:spacing w:before="0" w:after="283"/>
              <w:jc w:val="left"/>
              <w:rPr/>
            </w:pPr>
            <w:r>
              <w:rPr/>
              <w:t>Advance Notice Procedures for Nominations of Directors</w:t>
            </w:r>
          </w:p>
        </w:tc>
        <w:tc>
          <w:tcPr>
            <w:tcW w:w="530" w:type="dxa"/>
            <w:tcBorders/>
            <w:shd w:fill="CCEEFF" w:val="clear"/>
            <w:vAlign w:val="center"/>
          </w:tcPr>
          <w:p>
            <w:pPr>
              <w:pStyle w:val="TableContents"/>
              <w:bidi w:val="0"/>
              <w:spacing w:before="0" w:after="283"/>
              <w:jc w:val="center"/>
              <w:rPr/>
            </w:pPr>
            <w:r>
              <w:rPr/>
              <w:t>12</w:t>
            </w:r>
          </w:p>
        </w:tc>
      </w:tr>
      <w:tr>
        <w:trPr/>
        <w:tc>
          <w:tcPr>
            <w:tcW w:w="1220" w:type="dxa"/>
            <w:tcBorders/>
            <w:shd w:fill="FFFFFF" w:val="clear"/>
            <w:vAlign w:val="center"/>
          </w:tcPr>
          <w:p>
            <w:pPr>
              <w:pStyle w:val="TableContents"/>
              <w:bidi w:val="0"/>
              <w:spacing w:before="0" w:after="283"/>
              <w:jc w:val="left"/>
              <w:rPr/>
            </w:pPr>
            <w:r>
              <w:rPr/>
              <w:t>Section 2.15</w:t>
            </w:r>
          </w:p>
        </w:tc>
        <w:tc>
          <w:tcPr>
            <w:tcW w:w="6410" w:type="dxa"/>
            <w:tcBorders/>
            <w:shd w:fill="FFFFFF" w:val="clear"/>
            <w:vAlign w:val="center"/>
          </w:tcPr>
          <w:p>
            <w:pPr>
              <w:pStyle w:val="TableContents"/>
              <w:bidi w:val="0"/>
              <w:spacing w:before="0" w:after="283"/>
              <w:jc w:val="left"/>
              <w:rPr/>
            </w:pPr>
            <w:r>
              <w:rPr/>
              <w:t>Delivery to the Corporation</w:t>
            </w:r>
          </w:p>
        </w:tc>
        <w:tc>
          <w:tcPr>
            <w:tcW w:w="530" w:type="dxa"/>
            <w:tcBorders/>
            <w:shd w:fill="FFFFFF" w:val="clear"/>
            <w:vAlign w:val="center"/>
          </w:tcPr>
          <w:p>
            <w:pPr>
              <w:pStyle w:val="TableContents"/>
              <w:bidi w:val="0"/>
              <w:spacing w:before="0" w:after="283"/>
              <w:jc w:val="center"/>
              <w:rPr/>
            </w:pPr>
            <w:r>
              <w:rPr/>
              <w:t>16</w:t>
            </w:r>
          </w:p>
        </w:tc>
      </w:tr>
      <w:tr>
        <w:trPr/>
        <w:tc>
          <w:tcPr>
            <w:tcW w:w="1220" w:type="dxa"/>
            <w:tcBorders/>
            <w:shd w:fill="CCEEFF" w:val="clear"/>
            <w:vAlign w:val="center"/>
          </w:tcPr>
          <w:p>
            <w:pPr>
              <w:pStyle w:val="TableContents"/>
              <w:bidi w:val="0"/>
              <w:spacing w:before="0" w:after="283"/>
              <w:jc w:val="left"/>
              <w:rPr/>
            </w:pPr>
            <w:r>
              <w:rPr/>
              <w:t> </w:t>
            </w:r>
          </w:p>
        </w:tc>
        <w:tc>
          <w:tcPr>
            <w:tcW w:w="641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7630" w:type="dxa"/>
            <w:gridSpan w:val="2"/>
            <w:tcBorders/>
            <w:shd w:fill="FFFFFF" w:val="clear"/>
            <w:vAlign w:val="center"/>
          </w:tcPr>
          <w:p>
            <w:pPr>
              <w:pStyle w:val="TableContents"/>
              <w:bidi w:val="0"/>
              <w:spacing w:before="0" w:after="283"/>
              <w:jc w:val="left"/>
              <w:rPr/>
            </w:pPr>
            <w:r>
              <w:rPr/>
              <w:t xml:space="preserve">ARTICLE III. BOARD OF DIRECTORS </w:t>
            </w:r>
          </w:p>
        </w:tc>
        <w:tc>
          <w:tcPr>
            <w:tcW w:w="530" w:type="dxa"/>
            <w:tcBorders/>
            <w:shd w:fill="FFFFFF" w:val="clear"/>
            <w:vAlign w:val="center"/>
          </w:tcPr>
          <w:p>
            <w:pPr>
              <w:pStyle w:val="TableContents"/>
              <w:bidi w:val="0"/>
              <w:spacing w:before="0" w:after="283"/>
              <w:jc w:val="center"/>
              <w:rPr/>
            </w:pPr>
            <w:r>
              <w:rPr/>
              <w:t>17</w:t>
            </w:r>
          </w:p>
        </w:tc>
      </w:tr>
      <w:tr>
        <w:trPr/>
        <w:tc>
          <w:tcPr>
            <w:tcW w:w="1220" w:type="dxa"/>
            <w:tcBorders/>
            <w:shd w:fill="CCEEFF" w:val="clear"/>
            <w:vAlign w:val="center"/>
          </w:tcPr>
          <w:p>
            <w:pPr>
              <w:pStyle w:val="TableContents"/>
              <w:bidi w:val="0"/>
              <w:spacing w:before="0" w:after="283"/>
              <w:jc w:val="left"/>
              <w:rPr/>
            </w:pPr>
            <w:r>
              <w:rPr/>
              <w:t> </w:t>
            </w:r>
          </w:p>
        </w:tc>
        <w:tc>
          <w:tcPr>
            <w:tcW w:w="641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1220" w:type="dxa"/>
            <w:tcBorders/>
            <w:shd w:fill="FFFFFF" w:val="clear"/>
            <w:vAlign w:val="center"/>
          </w:tcPr>
          <w:p>
            <w:pPr>
              <w:pStyle w:val="TableContents"/>
              <w:bidi w:val="0"/>
              <w:spacing w:before="0" w:after="283"/>
              <w:jc w:val="left"/>
              <w:rPr/>
            </w:pPr>
            <w:r>
              <w:rPr/>
              <w:t>Section 3.01</w:t>
            </w:r>
          </w:p>
        </w:tc>
        <w:tc>
          <w:tcPr>
            <w:tcW w:w="6410" w:type="dxa"/>
            <w:tcBorders/>
            <w:shd w:fill="FFFFFF" w:val="clear"/>
            <w:vAlign w:val="center"/>
          </w:tcPr>
          <w:p>
            <w:pPr>
              <w:pStyle w:val="TableContents"/>
              <w:bidi w:val="0"/>
              <w:spacing w:before="0" w:after="283"/>
              <w:jc w:val="left"/>
              <w:rPr/>
            </w:pPr>
            <w:r>
              <w:rPr/>
              <w:t>Powers</w:t>
            </w:r>
          </w:p>
        </w:tc>
        <w:tc>
          <w:tcPr>
            <w:tcW w:w="530" w:type="dxa"/>
            <w:tcBorders/>
            <w:shd w:fill="FFFFFF" w:val="clear"/>
            <w:vAlign w:val="center"/>
          </w:tcPr>
          <w:p>
            <w:pPr>
              <w:pStyle w:val="TableContents"/>
              <w:bidi w:val="0"/>
              <w:spacing w:before="0" w:after="283"/>
              <w:jc w:val="center"/>
              <w:rPr/>
            </w:pPr>
            <w:r>
              <w:rPr/>
              <w:t>17</w:t>
            </w:r>
          </w:p>
        </w:tc>
      </w:tr>
      <w:tr>
        <w:trPr/>
        <w:tc>
          <w:tcPr>
            <w:tcW w:w="1220" w:type="dxa"/>
            <w:tcBorders/>
            <w:shd w:fill="CCEEFF" w:val="clear"/>
            <w:vAlign w:val="center"/>
          </w:tcPr>
          <w:p>
            <w:pPr>
              <w:pStyle w:val="TableContents"/>
              <w:bidi w:val="0"/>
              <w:spacing w:before="0" w:after="283"/>
              <w:jc w:val="left"/>
              <w:rPr/>
            </w:pPr>
            <w:r>
              <w:rPr/>
              <w:t>Section 3.02</w:t>
            </w:r>
          </w:p>
        </w:tc>
        <w:tc>
          <w:tcPr>
            <w:tcW w:w="6410" w:type="dxa"/>
            <w:tcBorders/>
            <w:shd w:fill="CCEEFF" w:val="clear"/>
            <w:vAlign w:val="center"/>
          </w:tcPr>
          <w:p>
            <w:pPr>
              <w:pStyle w:val="TableContents"/>
              <w:bidi w:val="0"/>
              <w:spacing w:before="0" w:after="283"/>
              <w:jc w:val="left"/>
              <w:rPr/>
            </w:pPr>
            <w:r>
              <w:rPr/>
              <w:t>Number; Tenure; Qualifications</w:t>
            </w:r>
          </w:p>
        </w:tc>
        <w:tc>
          <w:tcPr>
            <w:tcW w:w="530" w:type="dxa"/>
            <w:tcBorders/>
            <w:shd w:fill="CCEEFF" w:val="clear"/>
            <w:vAlign w:val="center"/>
          </w:tcPr>
          <w:p>
            <w:pPr>
              <w:pStyle w:val="TableContents"/>
              <w:bidi w:val="0"/>
              <w:spacing w:before="0" w:after="283"/>
              <w:jc w:val="center"/>
              <w:rPr/>
            </w:pPr>
            <w:r>
              <w:rPr/>
              <w:t>17</w:t>
            </w:r>
          </w:p>
        </w:tc>
      </w:tr>
      <w:tr>
        <w:trPr/>
        <w:tc>
          <w:tcPr>
            <w:tcW w:w="1220" w:type="dxa"/>
            <w:tcBorders/>
            <w:shd w:fill="FFFFFF" w:val="clear"/>
            <w:vAlign w:val="center"/>
          </w:tcPr>
          <w:p>
            <w:pPr>
              <w:pStyle w:val="TableContents"/>
              <w:bidi w:val="0"/>
              <w:spacing w:before="0" w:after="283"/>
              <w:jc w:val="left"/>
              <w:rPr/>
            </w:pPr>
            <w:r>
              <w:rPr/>
              <w:t>Section 3.03</w:t>
            </w:r>
          </w:p>
        </w:tc>
        <w:tc>
          <w:tcPr>
            <w:tcW w:w="6410" w:type="dxa"/>
            <w:tcBorders/>
            <w:shd w:fill="FFFFFF" w:val="clear"/>
            <w:vAlign w:val="center"/>
          </w:tcPr>
          <w:p>
            <w:pPr>
              <w:pStyle w:val="TableContents"/>
              <w:bidi w:val="0"/>
              <w:spacing w:before="0" w:after="283"/>
              <w:jc w:val="left"/>
              <w:rPr/>
            </w:pPr>
            <w:r>
              <w:rPr/>
              <w:t>Election, Qualification and Term of Office of Directors</w:t>
            </w:r>
          </w:p>
        </w:tc>
        <w:tc>
          <w:tcPr>
            <w:tcW w:w="530" w:type="dxa"/>
            <w:tcBorders/>
            <w:shd w:fill="FFFFFF" w:val="clear"/>
            <w:vAlign w:val="center"/>
          </w:tcPr>
          <w:p>
            <w:pPr>
              <w:pStyle w:val="TableContents"/>
              <w:bidi w:val="0"/>
              <w:spacing w:before="0" w:after="283"/>
              <w:jc w:val="center"/>
              <w:rPr/>
            </w:pPr>
            <w:r>
              <w:rPr/>
              <w:t>17</w:t>
            </w:r>
          </w:p>
        </w:tc>
      </w:tr>
      <w:tr>
        <w:trPr/>
        <w:tc>
          <w:tcPr>
            <w:tcW w:w="1220" w:type="dxa"/>
            <w:tcBorders/>
            <w:shd w:fill="CCEEFF" w:val="clear"/>
            <w:vAlign w:val="center"/>
          </w:tcPr>
          <w:p>
            <w:pPr>
              <w:pStyle w:val="TableContents"/>
              <w:bidi w:val="0"/>
              <w:spacing w:before="0" w:after="283"/>
              <w:jc w:val="left"/>
              <w:rPr/>
            </w:pPr>
            <w:r>
              <w:rPr/>
              <w:t>Section 3.04</w:t>
            </w:r>
          </w:p>
        </w:tc>
        <w:tc>
          <w:tcPr>
            <w:tcW w:w="6410" w:type="dxa"/>
            <w:tcBorders/>
            <w:shd w:fill="CCEEFF" w:val="clear"/>
            <w:vAlign w:val="center"/>
          </w:tcPr>
          <w:p>
            <w:pPr>
              <w:pStyle w:val="TableContents"/>
              <w:bidi w:val="0"/>
              <w:spacing w:before="0" w:after="283"/>
              <w:jc w:val="left"/>
              <w:rPr/>
            </w:pPr>
            <w:r>
              <w:rPr/>
              <w:t>Resignation and Vacancies</w:t>
            </w:r>
          </w:p>
        </w:tc>
        <w:tc>
          <w:tcPr>
            <w:tcW w:w="530" w:type="dxa"/>
            <w:tcBorders/>
            <w:shd w:fill="CCEEFF" w:val="clear"/>
            <w:vAlign w:val="center"/>
          </w:tcPr>
          <w:p>
            <w:pPr>
              <w:pStyle w:val="TableContents"/>
              <w:bidi w:val="0"/>
              <w:spacing w:before="0" w:after="283"/>
              <w:jc w:val="center"/>
              <w:rPr/>
            </w:pPr>
            <w:r>
              <w:rPr/>
              <w:t>17</w:t>
            </w:r>
          </w:p>
        </w:tc>
      </w:tr>
      <w:tr>
        <w:trPr/>
        <w:tc>
          <w:tcPr>
            <w:tcW w:w="1220" w:type="dxa"/>
            <w:tcBorders/>
            <w:shd w:fill="FFFFFF" w:val="clear"/>
            <w:vAlign w:val="center"/>
          </w:tcPr>
          <w:p>
            <w:pPr>
              <w:pStyle w:val="TableContents"/>
              <w:bidi w:val="0"/>
              <w:spacing w:before="0" w:after="283"/>
              <w:jc w:val="left"/>
              <w:rPr/>
            </w:pPr>
            <w:r>
              <w:rPr/>
              <w:t>Section 3.05</w:t>
            </w:r>
          </w:p>
        </w:tc>
        <w:tc>
          <w:tcPr>
            <w:tcW w:w="6410" w:type="dxa"/>
            <w:tcBorders/>
            <w:shd w:fill="FFFFFF" w:val="clear"/>
            <w:vAlign w:val="center"/>
          </w:tcPr>
          <w:p>
            <w:pPr>
              <w:pStyle w:val="TableContents"/>
              <w:bidi w:val="0"/>
              <w:spacing w:before="0" w:after="283"/>
              <w:jc w:val="left"/>
              <w:rPr/>
            </w:pPr>
            <w:r>
              <w:rPr/>
              <w:t>Regular Meetings</w:t>
            </w:r>
          </w:p>
        </w:tc>
        <w:tc>
          <w:tcPr>
            <w:tcW w:w="530" w:type="dxa"/>
            <w:tcBorders/>
            <w:shd w:fill="FFFFFF" w:val="clear"/>
            <w:vAlign w:val="center"/>
          </w:tcPr>
          <w:p>
            <w:pPr>
              <w:pStyle w:val="TableContents"/>
              <w:bidi w:val="0"/>
              <w:spacing w:before="0" w:after="283"/>
              <w:jc w:val="center"/>
              <w:rPr/>
            </w:pPr>
            <w:r>
              <w:rPr/>
              <w:t>18</w:t>
            </w:r>
          </w:p>
        </w:tc>
      </w:tr>
      <w:tr>
        <w:trPr/>
        <w:tc>
          <w:tcPr>
            <w:tcW w:w="1220" w:type="dxa"/>
            <w:tcBorders/>
            <w:shd w:fill="CCEEFF" w:val="clear"/>
            <w:vAlign w:val="center"/>
          </w:tcPr>
          <w:p>
            <w:pPr>
              <w:pStyle w:val="TableContents"/>
              <w:bidi w:val="0"/>
              <w:spacing w:before="0" w:after="283"/>
              <w:jc w:val="left"/>
              <w:rPr/>
            </w:pPr>
            <w:r>
              <w:rPr/>
              <w:t>Section 3.06</w:t>
            </w:r>
          </w:p>
        </w:tc>
        <w:tc>
          <w:tcPr>
            <w:tcW w:w="6410" w:type="dxa"/>
            <w:tcBorders/>
            <w:shd w:fill="CCEEFF" w:val="clear"/>
            <w:vAlign w:val="center"/>
          </w:tcPr>
          <w:p>
            <w:pPr>
              <w:pStyle w:val="TableContents"/>
              <w:bidi w:val="0"/>
              <w:spacing w:before="0" w:after="283"/>
              <w:jc w:val="left"/>
              <w:rPr/>
            </w:pPr>
            <w:r>
              <w:rPr/>
              <w:t>Special Meetings</w:t>
            </w:r>
          </w:p>
        </w:tc>
        <w:tc>
          <w:tcPr>
            <w:tcW w:w="530" w:type="dxa"/>
            <w:tcBorders/>
            <w:shd w:fill="CCEEFF" w:val="clear"/>
            <w:vAlign w:val="center"/>
          </w:tcPr>
          <w:p>
            <w:pPr>
              <w:pStyle w:val="TableContents"/>
              <w:bidi w:val="0"/>
              <w:spacing w:before="0" w:after="283"/>
              <w:jc w:val="center"/>
              <w:rPr/>
            </w:pPr>
            <w:r>
              <w:rPr/>
              <w:t>18</w:t>
            </w:r>
          </w:p>
        </w:tc>
      </w:tr>
      <w:tr>
        <w:trPr/>
        <w:tc>
          <w:tcPr>
            <w:tcW w:w="1220" w:type="dxa"/>
            <w:tcBorders/>
            <w:shd w:fill="FFFFFF" w:val="clear"/>
            <w:vAlign w:val="center"/>
          </w:tcPr>
          <w:p>
            <w:pPr>
              <w:pStyle w:val="TableContents"/>
              <w:bidi w:val="0"/>
              <w:spacing w:before="0" w:after="283"/>
              <w:jc w:val="left"/>
              <w:rPr/>
            </w:pPr>
            <w:r>
              <w:rPr/>
              <w:t>Section 3.07</w:t>
            </w:r>
          </w:p>
        </w:tc>
        <w:tc>
          <w:tcPr>
            <w:tcW w:w="6410" w:type="dxa"/>
            <w:tcBorders/>
            <w:shd w:fill="FFFFFF" w:val="clear"/>
            <w:vAlign w:val="center"/>
          </w:tcPr>
          <w:p>
            <w:pPr>
              <w:pStyle w:val="TableContents"/>
              <w:bidi w:val="0"/>
              <w:spacing w:before="0" w:after="283"/>
              <w:jc w:val="left"/>
              <w:rPr/>
            </w:pPr>
            <w:r>
              <w:rPr/>
              <w:t>Place of Meetings; Telephonic Meetings</w:t>
            </w:r>
          </w:p>
        </w:tc>
        <w:tc>
          <w:tcPr>
            <w:tcW w:w="530" w:type="dxa"/>
            <w:tcBorders/>
            <w:shd w:fill="FFFFFF" w:val="clear"/>
            <w:vAlign w:val="center"/>
          </w:tcPr>
          <w:p>
            <w:pPr>
              <w:pStyle w:val="TableContents"/>
              <w:bidi w:val="0"/>
              <w:spacing w:before="0" w:after="283"/>
              <w:jc w:val="center"/>
              <w:rPr/>
            </w:pPr>
            <w:r>
              <w:rPr/>
              <w:t>18</w:t>
            </w:r>
          </w:p>
        </w:tc>
      </w:tr>
      <w:tr>
        <w:trPr/>
        <w:tc>
          <w:tcPr>
            <w:tcW w:w="1220" w:type="dxa"/>
            <w:tcBorders/>
            <w:shd w:fill="CCEEFF" w:val="clear"/>
            <w:vAlign w:val="center"/>
          </w:tcPr>
          <w:p>
            <w:pPr>
              <w:pStyle w:val="TableContents"/>
              <w:bidi w:val="0"/>
              <w:spacing w:before="0" w:after="283"/>
              <w:jc w:val="left"/>
              <w:rPr/>
            </w:pPr>
            <w:r>
              <w:rPr/>
              <w:t>Section 3.08</w:t>
            </w:r>
          </w:p>
        </w:tc>
        <w:tc>
          <w:tcPr>
            <w:tcW w:w="6410" w:type="dxa"/>
            <w:tcBorders/>
            <w:shd w:fill="CCEEFF" w:val="clear"/>
            <w:vAlign w:val="center"/>
          </w:tcPr>
          <w:p>
            <w:pPr>
              <w:pStyle w:val="TableContents"/>
              <w:bidi w:val="0"/>
              <w:spacing w:before="0" w:after="283"/>
              <w:jc w:val="left"/>
              <w:rPr/>
            </w:pPr>
            <w:r>
              <w:rPr/>
              <w:t>Quorum; Vote Required for Action</w:t>
            </w:r>
          </w:p>
        </w:tc>
        <w:tc>
          <w:tcPr>
            <w:tcW w:w="530" w:type="dxa"/>
            <w:tcBorders/>
            <w:shd w:fill="CCEEFF" w:val="clear"/>
            <w:vAlign w:val="center"/>
          </w:tcPr>
          <w:p>
            <w:pPr>
              <w:pStyle w:val="TableContents"/>
              <w:bidi w:val="0"/>
              <w:spacing w:before="0" w:after="283"/>
              <w:jc w:val="center"/>
              <w:rPr/>
            </w:pPr>
            <w:r>
              <w:rPr/>
              <w:t>18</w:t>
            </w:r>
          </w:p>
        </w:tc>
      </w:tr>
      <w:tr>
        <w:trPr/>
        <w:tc>
          <w:tcPr>
            <w:tcW w:w="1220" w:type="dxa"/>
            <w:tcBorders/>
            <w:shd w:fill="FFFFFF" w:val="clear"/>
            <w:vAlign w:val="center"/>
          </w:tcPr>
          <w:p>
            <w:pPr>
              <w:pStyle w:val="TableContents"/>
              <w:bidi w:val="0"/>
              <w:spacing w:before="0" w:after="283"/>
              <w:jc w:val="left"/>
              <w:rPr/>
            </w:pPr>
            <w:r>
              <w:rPr/>
              <w:t>Section 3.09</w:t>
            </w:r>
          </w:p>
        </w:tc>
        <w:tc>
          <w:tcPr>
            <w:tcW w:w="6410" w:type="dxa"/>
            <w:tcBorders/>
            <w:shd w:fill="FFFFFF" w:val="clear"/>
            <w:vAlign w:val="center"/>
          </w:tcPr>
          <w:p>
            <w:pPr>
              <w:pStyle w:val="TableContents"/>
              <w:bidi w:val="0"/>
              <w:spacing w:before="0" w:after="283"/>
              <w:jc w:val="left"/>
              <w:rPr/>
            </w:pPr>
            <w:r>
              <w:rPr/>
              <w:t>Organization</w:t>
            </w:r>
          </w:p>
        </w:tc>
        <w:tc>
          <w:tcPr>
            <w:tcW w:w="530" w:type="dxa"/>
            <w:tcBorders/>
            <w:shd w:fill="FFFFFF" w:val="clear"/>
            <w:vAlign w:val="center"/>
          </w:tcPr>
          <w:p>
            <w:pPr>
              <w:pStyle w:val="TableContents"/>
              <w:bidi w:val="0"/>
              <w:spacing w:before="0" w:after="283"/>
              <w:jc w:val="center"/>
              <w:rPr/>
            </w:pPr>
            <w:r>
              <w:rPr/>
              <w:t>18</w:t>
            </w:r>
          </w:p>
        </w:tc>
      </w:tr>
      <w:tr>
        <w:trPr/>
        <w:tc>
          <w:tcPr>
            <w:tcW w:w="1220" w:type="dxa"/>
            <w:tcBorders/>
            <w:shd w:fill="CCEEFF" w:val="clear"/>
            <w:vAlign w:val="center"/>
          </w:tcPr>
          <w:p>
            <w:pPr>
              <w:pStyle w:val="TableContents"/>
              <w:bidi w:val="0"/>
              <w:spacing w:before="0" w:after="283"/>
              <w:jc w:val="left"/>
              <w:rPr/>
            </w:pPr>
            <w:r>
              <w:rPr/>
              <w:t>Section 3.10</w:t>
            </w:r>
          </w:p>
        </w:tc>
        <w:tc>
          <w:tcPr>
            <w:tcW w:w="6410" w:type="dxa"/>
            <w:tcBorders/>
            <w:shd w:fill="CCEEFF" w:val="clear"/>
            <w:vAlign w:val="center"/>
          </w:tcPr>
          <w:p>
            <w:pPr>
              <w:pStyle w:val="TableContents"/>
              <w:bidi w:val="0"/>
              <w:spacing w:before="0" w:after="283"/>
              <w:jc w:val="left"/>
              <w:rPr/>
            </w:pPr>
            <w:r>
              <w:rPr/>
              <w:t>Action by Unanimous Consent of Directors</w:t>
            </w:r>
          </w:p>
        </w:tc>
        <w:tc>
          <w:tcPr>
            <w:tcW w:w="530" w:type="dxa"/>
            <w:tcBorders/>
            <w:shd w:fill="CCEEFF" w:val="clear"/>
            <w:vAlign w:val="center"/>
          </w:tcPr>
          <w:p>
            <w:pPr>
              <w:pStyle w:val="TableContents"/>
              <w:bidi w:val="0"/>
              <w:spacing w:before="0" w:after="283"/>
              <w:jc w:val="center"/>
              <w:rPr/>
            </w:pPr>
            <w:r>
              <w:rPr/>
              <w:t>19</w:t>
            </w:r>
          </w:p>
        </w:tc>
      </w:tr>
      <w:tr>
        <w:trPr/>
        <w:tc>
          <w:tcPr>
            <w:tcW w:w="1220" w:type="dxa"/>
            <w:tcBorders/>
            <w:shd w:fill="FFFFFF" w:val="clear"/>
            <w:vAlign w:val="center"/>
          </w:tcPr>
          <w:p>
            <w:pPr>
              <w:pStyle w:val="TableContents"/>
              <w:bidi w:val="0"/>
              <w:spacing w:before="0" w:after="283"/>
              <w:jc w:val="left"/>
              <w:rPr/>
            </w:pPr>
            <w:r>
              <w:rPr/>
              <w:t>Section 3.11</w:t>
            </w:r>
          </w:p>
        </w:tc>
        <w:tc>
          <w:tcPr>
            <w:tcW w:w="6410" w:type="dxa"/>
            <w:tcBorders/>
            <w:shd w:fill="FFFFFF" w:val="clear"/>
            <w:vAlign w:val="center"/>
          </w:tcPr>
          <w:p>
            <w:pPr>
              <w:pStyle w:val="TableContents"/>
              <w:bidi w:val="0"/>
              <w:spacing w:before="0" w:after="283"/>
              <w:jc w:val="left"/>
              <w:rPr/>
            </w:pPr>
            <w:r>
              <w:rPr/>
              <w:t>Compensation of Directors</w:t>
            </w:r>
          </w:p>
        </w:tc>
        <w:tc>
          <w:tcPr>
            <w:tcW w:w="530" w:type="dxa"/>
            <w:tcBorders/>
            <w:shd w:fill="FFFFFF" w:val="clear"/>
            <w:vAlign w:val="center"/>
          </w:tcPr>
          <w:p>
            <w:pPr>
              <w:pStyle w:val="TableContents"/>
              <w:bidi w:val="0"/>
              <w:spacing w:before="0" w:after="283"/>
              <w:jc w:val="center"/>
              <w:rPr/>
            </w:pPr>
            <w:r>
              <w:rPr/>
              <w:t>19</w:t>
            </w:r>
          </w:p>
        </w:tc>
      </w:tr>
      <w:tr>
        <w:trPr/>
        <w:tc>
          <w:tcPr>
            <w:tcW w:w="1220" w:type="dxa"/>
            <w:tcBorders/>
            <w:shd w:fill="CCEEFF" w:val="clear"/>
            <w:vAlign w:val="center"/>
          </w:tcPr>
          <w:p>
            <w:pPr>
              <w:pStyle w:val="TableContents"/>
              <w:bidi w:val="0"/>
              <w:spacing w:before="0" w:after="283"/>
              <w:jc w:val="left"/>
              <w:rPr/>
            </w:pPr>
            <w:r>
              <w:rPr/>
              <w:t>Section 3.12</w:t>
            </w:r>
          </w:p>
        </w:tc>
        <w:tc>
          <w:tcPr>
            <w:tcW w:w="6410" w:type="dxa"/>
            <w:tcBorders/>
            <w:shd w:fill="CCEEFF" w:val="clear"/>
            <w:vAlign w:val="center"/>
          </w:tcPr>
          <w:p>
            <w:pPr>
              <w:pStyle w:val="TableContents"/>
              <w:bidi w:val="0"/>
              <w:spacing w:before="0" w:after="283"/>
              <w:jc w:val="left"/>
              <w:rPr/>
            </w:pPr>
            <w:r>
              <w:rPr/>
              <w:t>Chairperson</w:t>
            </w:r>
          </w:p>
        </w:tc>
        <w:tc>
          <w:tcPr>
            <w:tcW w:w="530" w:type="dxa"/>
            <w:tcBorders/>
            <w:shd w:fill="CCEEFF" w:val="clear"/>
            <w:vAlign w:val="center"/>
          </w:tcPr>
          <w:p>
            <w:pPr>
              <w:pStyle w:val="TableContents"/>
              <w:bidi w:val="0"/>
              <w:spacing w:before="0" w:after="283"/>
              <w:jc w:val="center"/>
              <w:rPr/>
            </w:pPr>
            <w:r>
              <w:rPr/>
              <w:t>19</w:t>
            </w:r>
          </w:p>
        </w:tc>
      </w:tr>
      <w:tr>
        <w:trPr/>
        <w:tc>
          <w:tcPr>
            <w:tcW w:w="1220" w:type="dxa"/>
            <w:tcBorders/>
            <w:shd w:fill="FFFFFF" w:val="clear"/>
            <w:vAlign w:val="center"/>
          </w:tcPr>
          <w:p>
            <w:pPr>
              <w:pStyle w:val="TableContents"/>
              <w:bidi w:val="0"/>
              <w:spacing w:before="0" w:after="283"/>
              <w:jc w:val="left"/>
              <w:rPr/>
            </w:pPr>
            <w:r>
              <w:rPr/>
              <w:t> </w:t>
            </w:r>
          </w:p>
        </w:tc>
        <w:tc>
          <w:tcPr>
            <w:tcW w:w="64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630" w:type="dxa"/>
            <w:gridSpan w:val="2"/>
            <w:tcBorders/>
            <w:shd w:fill="CCEEFF" w:val="clear"/>
            <w:vAlign w:val="center"/>
          </w:tcPr>
          <w:p>
            <w:pPr>
              <w:pStyle w:val="TableContents"/>
              <w:bidi w:val="0"/>
              <w:spacing w:before="0" w:after="283"/>
              <w:jc w:val="left"/>
              <w:rPr/>
            </w:pPr>
            <w:r>
              <w:rPr/>
              <w:t xml:space="preserve">ARTICLE IV. COMMITTEES </w:t>
            </w:r>
          </w:p>
        </w:tc>
        <w:tc>
          <w:tcPr>
            <w:tcW w:w="530" w:type="dxa"/>
            <w:tcBorders/>
            <w:shd w:fill="CCEEFF" w:val="clear"/>
            <w:vAlign w:val="center"/>
          </w:tcPr>
          <w:p>
            <w:pPr>
              <w:pStyle w:val="TableContents"/>
              <w:bidi w:val="0"/>
              <w:spacing w:before="0" w:after="283"/>
              <w:jc w:val="center"/>
              <w:rPr/>
            </w:pPr>
            <w:r>
              <w:rPr/>
              <w:t>19</w:t>
            </w:r>
          </w:p>
        </w:tc>
      </w:tr>
      <w:tr>
        <w:trPr/>
        <w:tc>
          <w:tcPr>
            <w:tcW w:w="1220" w:type="dxa"/>
            <w:tcBorders/>
            <w:shd w:fill="FFFFFF" w:val="clear"/>
            <w:vAlign w:val="center"/>
          </w:tcPr>
          <w:p>
            <w:pPr>
              <w:pStyle w:val="TableContents"/>
              <w:bidi w:val="0"/>
              <w:spacing w:before="0" w:after="283"/>
              <w:jc w:val="left"/>
              <w:rPr/>
            </w:pPr>
            <w:r>
              <w:rPr/>
              <w:t> </w:t>
            </w:r>
          </w:p>
        </w:tc>
        <w:tc>
          <w:tcPr>
            <w:tcW w:w="64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left"/>
              <w:rPr/>
            </w:pPr>
            <w:r>
              <w:rPr/>
              <w:t>Section 4.01</w:t>
            </w:r>
          </w:p>
        </w:tc>
        <w:tc>
          <w:tcPr>
            <w:tcW w:w="6410" w:type="dxa"/>
            <w:tcBorders/>
            <w:shd w:fill="CCEEFF" w:val="clear"/>
            <w:vAlign w:val="center"/>
          </w:tcPr>
          <w:p>
            <w:pPr>
              <w:pStyle w:val="TableContents"/>
              <w:bidi w:val="0"/>
              <w:spacing w:before="0" w:after="283"/>
              <w:jc w:val="left"/>
              <w:rPr/>
            </w:pPr>
            <w:r>
              <w:rPr/>
              <w:t>Committees</w:t>
            </w:r>
          </w:p>
        </w:tc>
        <w:tc>
          <w:tcPr>
            <w:tcW w:w="530" w:type="dxa"/>
            <w:tcBorders/>
            <w:shd w:fill="CCEEFF" w:val="clear"/>
            <w:vAlign w:val="center"/>
          </w:tcPr>
          <w:p>
            <w:pPr>
              <w:pStyle w:val="TableContents"/>
              <w:bidi w:val="0"/>
              <w:spacing w:before="0" w:after="283"/>
              <w:jc w:val="center"/>
              <w:rPr/>
            </w:pPr>
            <w:r>
              <w:rPr/>
              <w:t>19</w:t>
            </w:r>
          </w:p>
        </w:tc>
      </w:tr>
      <w:tr>
        <w:trPr/>
        <w:tc>
          <w:tcPr>
            <w:tcW w:w="1220" w:type="dxa"/>
            <w:tcBorders/>
            <w:shd w:fill="FFFFFF" w:val="clear"/>
            <w:vAlign w:val="center"/>
          </w:tcPr>
          <w:p>
            <w:pPr>
              <w:pStyle w:val="TableContents"/>
              <w:bidi w:val="0"/>
              <w:spacing w:before="0" w:after="283"/>
              <w:jc w:val="left"/>
              <w:rPr/>
            </w:pPr>
            <w:r>
              <w:rPr/>
              <w:t>Section 4.02</w:t>
            </w:r>
          </w:p>
        </w:tc>
        <w:tc>
          <w:tcPr>
            <w:tcW w:w="6410" w:type="dxa"/>
            <w:tcBorders/>
            <w:shd w:fill="FFFFFF" w:val="clear"/>
            <w:vAlign w:val="center"/>
          </w:tcPr>
          <w:p>
            <w:pPr>
              <w:pStyle w:val="TableContents"/>
              <w:bidi w:val="0"/>
              <w:spacing w:before="0" w:after="283"/>
              <w:jc w:val="left"/>
              <w:rPr/>
            </w:pPr>
            <w:r>
              <w:rPr/>
              <w:t>Committee Minutes</w:t>
            </w:r>
          </w:p>
        </w:tc>
        <w:tc>
          <w:tcPr>
            <w:tcW w:w="530" w:type="dxa"/>
            <w:tcBorders/>
            <w:shd w:fill="FFFFFF" w:val="clear"/>
            <w:vAlign w:val="center"/>
          </w:tcPr>
          <w:p>
            <w:pPr>
              <w:pStyle w:val="TableContents"/>
              <w:bidi w:val="0"/>
              <w:spacing w:before="0" w:after="283"/>
              <w:jc w:val="center"/>
              <w:rPr/>
            </w:pPr>
            <w:r>
              <w:rPr/>
              <w:t>20</w:t>
            </w:r>
          </w:p>
        </w:tc>
      </w:tr>
      <w:tr>
        <w:trPr/>
        <w:tc>
          <w:tcPr>
            <w:tcW w:w="1220" w:type="dxa"/>
            <w:tcBorders/>
            <w:shd w:fill="CCEEFF" w:val="clear"/>
            <w:vAlign w:val="center"/>
          </w:tcPr>
          <w:p>
            <w:pPr>
              <w:pStyle w:val="TableContents"/>
              <w:bidi w:val="0"/>
              <w:spacing w:before="0" w:after="283"/>
              <w:jc w:val="left"/>
              <w:rPr/>
            </w:pPr>
            <w:r>
              <w:rPr/>
              <w:t>Section 4.03</w:t>
            </w:r>
          </w:p>
        </w:tc>
        <w:tc>
          <w:tcPr>
            <w:tcW w:w="6410" w:type="dxa"/>
            <w:tcBorders/>
            <w:shd w:fill="CCEEFF" w:val="clear"/>
            <w:vAlign w:val="center"/>
          </w:tcPr>
          <w:p>
            <w:pPr>
              <w:pStyle w:val="TableContents"/>
              <w:bidi w:val="0"/>
              <w:spacing w:before="0" w:after="283"/>
              <w:jc w:val="left"/>
              <w:rPr/>
            </w:pPr>
            <w:r>
              <w:rPr/>
              <w:t>Committee Rules</w:t>
            </w:r>
          </w:p>
        </w:tc>
        <w:tc>
          <w:tcPr>
            <w:tcW w:w="530" w:type="dxa"/>
            <w:tcBorders/>
            <w:shd w:fill="CCEEFF" w:val="clear"/>
            <w:vAlign w:val="center"/>
          </w:tcPr>
          <w:p>
            <w:pPr>
              <w:pStyle w:val="TableContents"/>
              <w:bidi w:val="0"/>
              <w:spacing w:before="0" w:after="283"/>
              <w:jc w:val="center"/>
              <w:rPr/>
            </w:pPr>
            <w:r>
              <w:rPr/>
              <w:t>20</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ind w:left="0" w:right="0" w:hanging="0"/>
        <w:jc w:val="left"/>
        <w:rPr>
          <w:caps w:val="false"/>
          <w:smallCaps w:val="false"/>
        </w:rPr>
      </w:pPr>
      <w:r>
        <w:rPr>
          <w:caps w:val="false"/>
          <w:smallCaps w:val="false"/>
        </w:rPr>
        <w:t> </w:t>
      </w:r>
    </w:p>
    <w:tbl>
      <w:tblPr>
        <w:tblW w:w="6675" w:type="dxa"/>
        <w:jc w:val="left"/>
        <w:tblInd w:w="0" w:type="dxa"/>
        <w:tblLayout w:type="fixed"/>
        <w:tblCellMar>
          <w:top w:w="0" w:type="dxa"/>
          <w:left w:w="0" w:type="dxa"/>
          <w:bottom w:w="0" w:type="dxa"/>
          <w:right w:w="0" w:type="dxa"/>
        </w:tblCellMar>
      </w:tblPr>
      <w:tblGrid>
        <w:gridCol w:w="1220"/>
        <w:gridCol w:w="5180"/>
        <w:gridCol w:w="275"/>
      </w:tblGrid>
      <w:tr>
        <w:trPr/>
        <w:tc>
          <w:tcPr>
            <w:tcW w:w="6400" w:type="dxa"/>
            <w:gridSpan w:val="2"/>
            <w:tcBorders/>
            <w:shd w:fill="CCEEFF" w:val="clear"/>
            <w:vAlign w:val="center"/>
          </w:tcPr>
          <w:p>
            <w:pPr>
              <w:pStyle w:val="TableContents"/>
              <w:bidi w:val="0"/>
              <w:spacing w:before="0" w:after="283"/>
              <w:jc w:val="left"/>
              <w:rPr/>
            </w:pPr>
            <w:r>
              <w:rPr/>
              <w:t xml:space="preserve">ARTICLE V. OFFICERS </w:t>
            </w:r>
          </w:p>
        </w:tc>
        <w:tc>
          <w:tcPr>
            <w:tcW w:w="275" w:type="dxa"/>
            <w:tcBorders/>
            <w:shd w:fill="CCEEFF" w:val="clear"/>
            <w:vAlign w:val="center"/>
          </w:tcPr>
          <w:p>
            <w:pPr>
              <w:pStyle w:val="TableContents"/>
              <w:bidi w:val="0"/>
              <w:spacing w:before="0" w:after="283"/>
              <w:jc w:val="center"/>
              <w:rPr/>
            </w:pPr>
            <w:r>
              <w:rPr/>
              <w:t>20</w:t>
            </w:r>
          </w:p>
        </w:tc>
      </w:tr>
      <w:tr>
        <w:trPr/>
        <w:tc>
          <w:tcPr>
            <w:tcW w:w="1220" w:type="dxa"/>
            <w:tcBorders/>
            <w:shd w:fill="FFFFFF" w:val="clear"/>
            <w:vAlign w:val="center"/>
          </w:tcPr>
          <w:p>
            <w:pPr>
              <w:pStyle w:val="TableContents"/>
              <w:bidi w:val="0"/>
              <w:spacing w:before="0" w:after="283"/>
              <w:jc w:val="left"/>
              <w:rPr/>
            </w:pPr>
            <w:r>
              <w:rPr/>
              <w:t> </w:t>
            </w:r>
          </w:p>
        </w:tc>
        <w:tc>
          <w:tcPr>
            <w:tcW w:w="518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left"/>
              <w:rPr/>
            </w:pPr>
            <w:r>
              <w:rPr/>
              <w:t>Section 5.01</w:t>
            </w:r>
          </w:p>
        </w:tc>
        <w:tc>
          <w:tcPr>
            <w:tcW w:w="5180" w:type="dxa"/>
            <w:tcBorders/>
            <w:shd w:fill="CCEEFF" w:val="clear"/>
            <w:vAlign w:val="center"/>
          </w:tcPr>
          <w:p>
            <w:pPr>
              <w:pStyle w:val="TableContents"/>
              <w:bidi w:val="0"/>
              <w:spacing w:before="0" w:after="283"/>
              <w:jc w:val="left"/>
              <w:rPr/>
            </w:pPr>
            <w:r>
              <w:rPr/>
              <w:t>Officers</w:t>
            </w:r>
          </w:p>
        </w:tc>
        <w:tc>
          <w:tcPr>
            <w:tcW w:w="275" w:type="dxa"/>
            <w:tcBorders/>
            <w:shd w:fill="CCEEFF" w:val="clear"/>
            <w:vAlign w:val="center"/>
          </w:tcPr>
          <w:p>
            <w:pPr>
              <w:pStyle w:val="TableContents"/>
              <w:bidi w:val="0"/>
              <w:spacing w:before="0" w:after="283"/>
              <w:jc w:val="center"/>
              <w:rPr/>
            </w:pPr>
            <w:r>
              <w:rPr/>
              <w:t>20</w:t>
            </w:r>
          </w:p>
        </w:tc>
      </w:tr>
      <w:tr>
        <w:trPr/>
        <w:tc>
          <w:tcPr>
            <w:tcW w:w="1220" w:type="dxa"/>
            <w:tcBorders/>
            <w:shd w:fill="FFFFFF" w:val="clear"/>
            <w:vAlign w:val="center"/>
          </w:tcPr>
          <w:p>
            <w:pPr>
              <w:pStyle w:val="TableContents"/>
              <w:bidi w:val="0"/>
              <w:spacing w:before="0" w:after="283"/>
              <w:jc w:val="left"/>
              <w:rPr/>
            </w:pPr>
            <w:r>
              <w:rPr/>
              <w:t>Section 5.02</w:t>
            </w:r>
          </w:p>
        </w:tc>
        <w:tc>
          <w:tcPr>
            <w:tcW w:w="5180" w:type="dxa"/>
            <w:tcBorders/>
            <w:shd w:fill="FFFFFF" w:val="clear"/>
            <w:vAlign w:val="center"/>
          </w:tcPr>
          <w:p>
            <w:pPr>
              <w:pStyle w:val="TableContents"/>
              <w:bidi w:val="0"/>
              <w:spacing w:before="0" w:after="283"/>
              <w:jc w:val="left"/>
              <w:rPr/>
            </w:pPr>
            <w:r>
              <w:rPr/>
              <w:t>Appointment of Officers</w:t>
            </w:r>
          </w:p>
        </w:tc>
        <w:tc>
          <w:tcPr>
            <w:tcW w:w="275" w:type="dxa"/>
            <w:tcBorders/>
            <w:shd w:fill="FFFFFF" w:val="clear"/>
            <w:vAlign w:val="center"/>
          </w:tcPr>
          <w:p>
            <w:pPr>
              <w:pStyle w:val="TableContents"/>
              <w:bidi w:val="0"/>
              <w:spacing w:before="0" w:after="283"/>
              <w:jc w:val="center"/>
              <w:rPr/>
            </w:pPr>
            <w:r>
              <w:rPr/>
              <w:t>20</w:t>
            </w:r>
          </w:p>
        </w:tc>
      </w:tr>
      <w:tr>
        <w:trPr/>
        <w:tc>
          <w:tcPr>
            <w:tcW w:w="1220" w:type="dxa"/>
            <w:tcBorders/>
            <w:shd w:fill="CCEEFF" w:val="clear"/>
            <w:vAlign w:val="center"/>
          </w:tcPr>
          <w:p>
            <w:pPr>
              <w:pStyle w:val="TableContents"/>
              <w:bidi w:val="0"/>
              <w:spacing w:before="0" w:after="283"/>
              <w:jc w:val="left"/>
              <w:rPr/>
            </w:pPr>
            <w:r>
              <w:rPr/>
              <w:t>Section 5.03</w:t>
            </w:r>
          </w:p>
        </w:tc>
        <w:tc>
          <w:tcPr>
            <w:tcW w:w="5180" w:type="dxa"/>
            <w:tcBorders/>
            <w:shd w:fill="CCEEFF" w:val="clear"/>
            <w:vAlign w:val="center"/>
          </w:tcPr>
          <w:p>
            <w:pPr>
              <w:pStyle w:val="TableContents"/>
              <w:bidi w:val="0"/>
              <w:spacing w:before="0" w:after="283"/>
              <w:jc w:val="left"/>
              <w:rPr/>
            </w:pPr>
            <w:r>
              <w:rPr/>
              <w:t>Subordinate Officers</w:t>
            </w:r>
          </w:p>
        </w:tc>
        <w:tc>
          <w:tcPr>
            <w:tcW w:w="275" w:type="dxa"/>
            <w:tcBorders/>
            <w:shd w:fill="CCEEFF" w:val="clear"/>
            <w:vAlign w:val="center"/>
          </w:tcPr>
          <w:p>
            <w:pPr>
              <w:pStyle w:val="TableContents"/>
              <w:bidi w:val="0"/>
              <w:spacing w:before="0" w:after="283"/>
              <w:jc w:val="center"/>
              <w:rPr/>
            </w:pPr>
            <w:r>
              <w:rPr/>
              <w:t>20</w:t>
            </w:r>
          </w:p>
        </w:tc>
      </w:tr>
      <w:tr>
        <w:trPr/>
        <w:tc>
          <w:tcPr>
            <w:tcW w:w="1220" w:type="dxa"/>
            <w:tcBorders/>
            <w:shd w:fill="FFFFFF" w:val="clear"/>
            <w:vAlign w:val="center"/>
          </w:tcPr>
          <w:p>
            <w:pPr>
              <w:pStyle w:val="TableContents"/>
              <w:bidi w:val="0"/>
              <w:spacing w:before="0" w:after="283"/>
              <w:jc w:val="left"/>
              <w:rPr/>
            </w:pPr>
            <w:r>
              <w:rPr/>
              <w:t>Section 5.04</w:t>
            </w:r>
          </w:p>
        </w:tc>
        <w:tc>
          <w:tcPr>
            <w:tcW w:w="5180" w:type="dxa"/>
            <w:tcBorders/>
            <w:shd w:fill="FFFFFF" w:val="clear"/>
            <w:vAlign w:val="center"/>
          </w:tcPr>
          <w:p>
            <w:pPr>
              <w:pStyle w:val="TableContents"/>
              <w:bidi w:val="0"/>
              <w:spacing w:before="0" w:after="283"/>
              <w:jc w:val="left"/>
              <w:rPr/>
            </w:pPr>
            <w:r>
              <w:rPr/>
              <w:t>Removal and Resignation of Officers</w:t>
            </w:r>
          </w:p>
        </w:tc>
        <w:tc>
          <w:tcPr>
            <w:tcW w:w="275" w:type="dxa"/>
            <w:tcBorders/>
            <w:shd w:fill="FFFFFF" w:val="clear"/>
            <w:vAlign w:val="center"/>
          </w:tcPr>
          <w:p>
            <w:pPr>
              <w:pStyle w:val="TableContents"/>
              <w:bidi w:val="0"/>
              <w:spacing w:before="0" w:after="283"/>
              <w:jc w:val="center"/>
              <w:rPr/>
            </w:pPr>
            <w:r>
              <w:rPr/>
              <w:t>20</w:t>
            </w:r>
          </w:p>
        </w:tc>
      </w:tr>
      <w:tr>
        <w:trPr/>
        <w:tc>
          <w:tcPr>
            <w:tcW w:w="1220" w:type="dxa"/>
            <w:tcBorders/>
            <w:shd w:fill="CCEEFF" w:val="clear"/>
            <w:vAlign w:val="center"/>
          </w:tcPr>
          <w:p>
            <w:pPr>
              <w:pStyle w:val="TableContents"/>
              <w:bidi w:val="0"/>
              <w:spacing w:before="0" w:after="283"/>
              <w:jc w:val="left"/>
              <w:rPr/>
            </w:pPr>
            <w:r>
              <w:rPr/>
              <w:t>Section 5.05</w:t>
            </w:r>
          </w:p>
        </w:tc>
        <w:tc>
          <w:tcPr>
            <w:tcW w:w="5180" w:type="dxa"/>
            <w:tcBorders/>
            <w:shd w:fill="CCEEFF" w:val="clear"/>
            <w:vAlign w:val="center"/>
          </w:tcPr>
          <w:p>
            <w:pPr>
              <w:pStyle w:val="TableContents"/>
              <w:bidi w:val="0"/>
              <w:spacing w:before="0" w:after="283"/>
              <w:jc w:val="left"/>
              <w:rPr/>
            </w:pPr>
            <w:r>
              <w:rPr/>
              <w:t>Vacancies in Offices</w:t>
            </w:r>
          </w:p>
        </w:tc>
        <w:tc>
          <w:tcPr>
            <w:tcW w:w="275" w:type="dxa"/>
            <w:tcBorders/>
            <w:shd w:fill="CCEEFF" w:val="clear"/>
            <w:vAlign w:val="center"/>
          </w:tcPr>
          <w:p>
            <w:pPr>
              <w:pStyle w:val="TableContents"/>
              <w:bidi w:val="0"/>
              <w:spacing w:before="0" w:after="283"/>
              <w:jc w:val="center"/>
              <w:rPr/>
            </w:pPr>
            <w:r>
              <w:rPr/>
              <w:t>21</w:t>
            </w:r>
          </w:p>
        </w:tc>
      </w:tr>
      <w:tr>
        <w:trPr/>
        <w:tc>
          <w:tcPr>
            <w:tcW w:w="1220" w:type="dxa"/>
            <w:tcBorders/>
            <w:shd w:fill="FFFFFF" w:val="clear"/>
            <w:vAlign w:val="center"/>
          </w:tcPr>
          <w:p>
            <w:pPr>
              <w:pStyle w:val="TableContents"/>
              <w:bidi w:val="0"/>
              <w:spacing w:before="0" w:after="283"/>
              <w:jc w:val="left"/>
              <w:rPr/>
            </w:pPr>
            <w:r>
              <w:rPr/>
              <w:t>Section 5.06</w:t>
            </w:r>
          </w:p>
        </w:tc>
        <w:tc>
          <w:tcPr>
            <w:tcW w:w="5180" w:type="dxa"/>
            <w:tcBorders/>
            <w:shd w:fill="FFFFFF" w:val="clear"/>
            <w:vAlign w:val="center"/>
          </w:tcPr>
          <w:p>
            <w:pPr>
              <w:pStyle w:val="TableContents"/>
              <w:bidi w:val="0"/>
              <w:spacing w:before="0" w:after="283"/>
              <w:jc w:val="left"/>
              <w:rPr/>
            </w:pPr>
            <w:r>
              <w:rPr/>
              <w:t>Representation of Shares of Other Entities</w:t>
            </w:r>
          </w:p>
        </w:tc>
        <w:tc>
          <w:tcPr>
            <w:tcW w:w="275" w:type="dxa"/>
            <w:tcBorders/>
            <w:shd w:fill="FFFFFF" w:val="clear"/>
            <w:vAlign w:val="center"/>
          </w:tcPr>
          <w:p>
            <w:pPr>
              <w:pStyle w:val="TableContents"/>
              <w:bidi w:val="0"/>
              <w:spacing w:before="0" w:after="283"/>
              <w:jc w:val="center"/>
              <w:rPr/>
            </w:pPr>
            <w:r>
              <w:rPr/>
              <w:t>21</w:t>
            </w:r>
          </w:p>
        </w:tc>
      </w:tr>
      <w:tr>
        <w:trPr/>
        <w:tc>
          <w:tcPr>
            <w:tcW w:w="1220" w:type="dxa"/>
            <w:tcBorders/>
            <w:shd w:fill="CCEEFF" w:val="clear"/>
            <w:vAlign w:val="center"/>
          </w:tcPr>
          <w:p>
            <w:pPr>
              <w:pStyle w:val="TableContents"/>
              <w:bidi w:val="0"/>
              <w:spacing w:before="0" w:after="283"/>
              <w:jc w:val="left"/>
              <w:rPr/>
            </w:pPr>
            <w:r>
              <w:rPr/>
              <w:t>Section 5.07</w:t>
            </w:r>
          </w:p>
        </w:tc>
        <w:tc>
          <w:tcPr>
            <w:tcW w:w="5180" w:type="dxa"/>
            <w:tcBorders/>
            <w:shd w:fill="CCEEFF" w:val="clear"/>
            <w:vAlign w:val="center"/>
          </w:tcPr>
          <w:p>
            <w:pPr>
              <w:pStyle w:val="TableContents"/>
              <w:bidi w:val="0"/>
              <w:spacing w:before="0" w:after="283"/>
              <w:jc w:val="left"/>
              <w:rPr/>
            </w:pPr>
            <w:r>
              <w:rPr/>
              <w:t>Authority and Duties of Officers</w:t>
            </w:r>
          </w:p>
        </w:tc>
        <w:tc>
          <w:tcPr>
            <w:tcW w:w="275" w:type="dxa"/>
            <w:tcBorders/>
            <w:shd w:fill="CCEEFF" w:val="clear"/>
            <w:vAlign w:val="center"/>
          </w:tcPr>
          <w:p>
            <w:pPr>
              <w:pStyle w:val="TableContents"/>
              <w:bidi w:val="0"/>
              <w:spacing w:before="0" w:after="283"/>
              <w:jc w:val="center"/>
              <w:rPr/>
            </w:pPr>
            <w:r>
              <w:rPr/>
              <w:t>21</w:t>
            </w:r>
          </w:p>
        </w:tc>
      </w:tr>
      <w:tr>
        <w:trPr/>
        <w:tc>
          <w:tcPr>
            <w:tcW w:w="1220" w:type="dxa"/>
            <w:tcBorders/>
            <w:shd w:fill="FFFFFF" w:val="clear"/>
            <w:vAlign w:val="center"/>
          </w:tcPr>
          <w:p>
            <w:pPr>
              <w:pStyle w:val="TableContents"/>
              <w:bidi w:val="0"/>
              <w:spacing w:before="0" w:after="283"/>
              <w:jc w:val="left"/>
              <w:rPr/>
            </w:pPr>
            <w:r>
              <w:rPr/>
              <w:t>Section 5.08</w:t>
            </w:r>
          </w:p>
        </w:tc>
        <w:tc>
          <w:tcPr>
            <w:tcW w:w="5180" w:type="dxa"/>
            <w:tcBorders/>
            <w:shd w:fill="FFFFFF" w:val="clear"/>
            <w:vAlign w:val="center"/>
          </w:tcPr>
          <w:p>
            <w:pPr>
              <w:pStyle w:val="TableContents"/>
              <w:bidi w:val="0"/>
              <w:spacing w:before="0" w:after="283"/>
              <w:jc w:val="left"/>
              <w:rPr/>
            </w:pPr>
            <w:r>
              <w:rPr/>
              <w:t>Compensation</w:t>
            </w:r>
          </w:p>
        </w:tc>
        <w:tc>
          <w:tcPr>
            <w:tcW w:w="275" w:type="dxa"/>
            <w:tcBorders/>
            <w:shd w:fill="FFFFFF" w:val="clear"/>
            <w:vAlign w:val="center"/>
          </w:tcPr>
          <w:p>
            <w:pPr>
              <w:pStyle w:val="TableContents"/>
              <w:bidi w:val="0"/>
              <w:spacing w:before="0" w:after="283"/>
              <w:jc w:val="center"/>
              <w:rPr/>
            </w:pPr>
            <w:r>
              <w:rPr/>
              <w:t>21</w:t>
            </w:r>
          </w:p>
        </w:tc>
      </w:tr>
      <w:tr>
        <w:trPr/>
        <w:tc>
          <w:tcPr>
            <w:tcW w:w="1220" w:type="dxa"/>
            <w:tcBorders/>
            <w:shd w:fill="CCEEFF" w:val="clear"/>
            <w:vAlign w:val="center"/>
          </w:tcPr>
          <w:p>
            <w:pPr>
              <w:pStyle w:val="TableContents"/>
              <w:bidi w:val="0"/>
              <w:spacing w:before="0" w:after="283"/>
              <w:jc w:val="left"/>
              <w:rPr/>
            </w:pPr>
            <w:r>
              <w:rPr/>
              <w:t> </w:t>
            </w:r>
          </w:p>
        </w:tc>
        <w:tc>
          <w:tcPr>
            <w:tcW w:w="518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400" w:type="dxa"/>
            <w:gridSpan w:val="2"/>
            <w:tcBorders/>
            <w:shd w:fill="FFFFFF" w:val="clear"/>
            <w:vAlign w:val="center"/>
          </w:tcPr>
          <w:p>
            <w:pPr>
              <w:pStyle w:val="TableContents"/>
              <w:bidi w:val="0"/>
              <w:spacing w:before="0" w:after="283"/>
              <w:jc w:val="left"/>
              <w:rPr/>
            </w:pPr>
            <w:r>
              <w:rPr/>
              <w:t xml:space="preserve">ARTICLE VI. RECORDS </w:t>
            </w:r>
          </w:p>
        </w:tc>
        <w:tc>
          <w:tcPr>
            <w:tcW w:w="275" w:type="dxa"/>
            <w:tcBorders/>
            <w:shd w:fill="FFFFFF" w:val="clear"/>
            <w:vAlign w:val="center"/>
          </w:tcPr>
          <w:p>
            <w:pPr>
              <w:pStyle w:val="TableContents"/>
              <w:bidi w:val="0"/>
              <w:spacing w:before="0" w:after="283"/>
              <w:jc w:val="center"/>
              <w:rPr/>
            </w:pPr>
            <w:r>
              <w:rPr/>
              <w:t>21</w:t>
            </w:r>
          </w:p>
        </w:tc>
      </w:tr>
      <w:tr>
        <w:trPr/>
        <w:tc>
          <w:tcPr>
            <w:tcW w:w="1220" w:type="dxa"/>
            <w:tcBorders/>
            <w:shd w:fill="CCEEFF" w:val="clear"/>
            <w:vAlign w:val="center"/>
          </w:tcPr>
          <w:p>
            <w:pPr>
              <w:pStyle w:val="TableContents"/>
              <w:bidi w:val="0"/>
              <w:spacing w:before="0" w:after="283"/>
              <w:jc w:val="left"/>
              <w:rPr/>
            </w:pPr>
            <w:r>
              <w:rPr/>
              <w:t> </w:t>
            </w:r>
          </w:p>
        </w:tc>
        <w:tc>
          <w:tcPr>
            <w:tcW w:w="518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1220" w:type="dxa"/>
            <w:tcBorders/>
            <w:shd w:fill="FFFFFF" w:val="clear"/>
            <w:vAlign w:val="center"/>
          </w:tcPr>
          <w:p>
            <w:pPr>
              <w:pStyle w:val="TableContents"/>
              <w:bidi w:val="0"/>
              <w:spacing w:before="0" w:after="283"/>
              <w:jc w:val="left"/>
              <w:rPr/>
            </w:pPr>
            <w:r>
              <w:rPr/>
              <w:t>Section 6.01</w:t>
            </w:r>
          </w:p>
        </w:tc>
        <w:tc>
          <w:tcPr>
            <w:tcW w:w="5180" w:type="dxa"/>
            <w:tcBorders/>
            <w:shd w:fill="FFFFFF" w:val="clear"/>
            <w:vAlign w:val="center"/>
          </w:tcPr>
          <w:p>
            <w:pPr>
              <w:pStyle w:val="TableContents"/>
              <w:bidi w:val="0"/>
              <w:spacing w:before="0" w:after="283"/>
              <w:jc w:val="left"/>
              <w:rPr/>
            </w:pPr>
            <w:r>
              <w:rPr/>
              <w:t>Records</w:t>
            </w:r>
          </w:p>
        </w:tc>
        <w:tc>
          <w:tcPr>
            <w:tcW w:w="275" w:type="dxa"/>
            <w:tcBorders/>
            <w:shd w:fill="FFFFFF" w:val="clear"/>
            <w:vAlign w:val="center"/>
          </w:tcPr>
          <w:p>
            <w:pPr>
              <w:pStyle w:val="TableContents"/>
              <w:bidi w:val="0"/>
              <w:spacing w:before="0" w:after="283"/>
              <w:jc w:val="center"/>
              <w:rPr/>
            </w:pPr>
            <w:r>
              <w:rPr/>
              <w:t>21</w:t>
            </w:r>
          </w:p>
        </w:tc>
      </w:tr>
      <w:tr>
        <w:trPr/>
        <w:tc>
          <w:tcPr>
            <w:tcW w:w="1220" w:type="dxa"/>
            <w:tcBorders/>
            <w:shd w:fill="CCEEFF" w:val="clear"/>
            <w:vAlign w:val="center"/>
          </w:tcPr>
          <w:p>
            <w:pPr>
              <w:pStyle w:val="TableContents"/>
              <w:bidi w:val="0"/>
              <w:spacing w:before="0" w:after="283"/>
              <w:jc w:val="left"/>
              <w:rPr/>
            </w:pPr>
            <w:r>
              <w:rPr/>
              <w:t> </w:t>
            </w:r>
          </w:p>
        </w:tc>
        <w:tc>
          <w:tcPr>
            <w:tcW w:w="518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400" w:type="dxa"/>
            <w:gridSpan w:val="2"/>
            <w:tcBorders/>
            <w:shd w:fill="FFFFFF" w:val="clear"/>
            <w:vAlign w:val="center"/>
          </w:tcPr>
          <w:p>
            <w:pPr>
              <w:pStyle w:val="TableContents"/>
              <w:bidi w:val="0"/>
              <w:spacing w:before="0" w:after="283"/>
              <w:jc w:val="left"/>
              <w:rPr/>
            </w:pPr>
            <w:r>
              <w:rPr/>
              <w:t xml:space="preserve">ARTICLE VII. GENERAL MATTERS </w:t>
            </w:r>
          </w:p>
        </w:tc>
        <w:tc>
          <w:tcPr>
            <w:tcW w:w="275" w:type="dxa"/>
            <w:tcBorders/>
            <w:shd w:fill="FFFFFF" w:val="clear"/>
            <w:vAlign w:val="center"/>
          </w:tcPr>
          <w:p>
            <w:pPr>
              <w:pStyle w:val="TableContents"/>
              <w:bidi w:val="0"/>
              <w:spacing w:before="0" w:after="283"/>
              <w:jc w:val="center"/>
              <w:rPr/>
            </w:pPr>
            <w:r>
              <w:rPr/>
              <w:t>22</w:t>
            </w:r>
          </w:p>
        </w:tc>
      </w:tr>
      <w:tr>
        <w:trPr/>
        <w:tc>
          <w:tcPr>
            <w:tcW w:w="1220" w:type="dxa"/>
            <w:tcBorders/>
            <w:shd w:fill="CCEEFF" w:val="clear"/>
            <w:vAlign w:val="center"/>
          </w:tcPr>
          <w:p>
            <w:pPr>
              <w:pStyle w:val="TableContents"/>
              <w:bidi w:val="0"/>
              <w:spacing w:before="0" w:after="283"/>
              <w:jc w:val="left"/>
              <w:rPr/>
            </w:pPr>
            <w:r>
              <w:rPr/>
              <w:t> </w:t>
            </w:r>
          </w:p>
        </w:tc>
        <w:tc>
          <w:tcPr>
            <w:tcW w:w="518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1220" w:type="dxa"/>
            <w:tcBorders/>
            <w:shd w:fill="FFFFFF" w:val="clear"/>
            <w:vAlign w:val="center"/>
          </w:tcPr>
          <w:p>
            <w:pPr>
              <w:pStyle w:val="TableContents"/>
              <w:bidi w:val="0"/>
              <w:spacing w:before="0" w:after="283"/>
              <w:jc w:val="left"/>
              <w:rPr/>
            </w:pPr>
            <w:r>
              <w:rPr/>
              <w:t>Section 7.01</w:t>
            </w:r>
          </w:p>
        </w:tc>
        <w:tc>
          <w:tcPr>
            <w:tcW w:w="5180" w:type="dxa"/>
            <w:tcBorders/>
            <w:shd w:fill="FFFFFF" w:val="clear"/>
            <w:vAlign w:val="center"/>
          </w:tcPr>
          <w:p>
            <w:pPr>
              <w:pStyle w:val="TableContents"/>
              <w:bidi w:val="0"/>
              <w:spacing w:before="0" w:after="283"/>
              <w:jc w:val="left"/>
              <w:rPr/>
            </w:pPr>
            <w:r>
              <w:rPr/>
              <w:t>Execution of Corporate Contracts and Instruments</w:t>
            </w:r>
          </w:p>
        </w:tc>
        <w:tc>
          <w:tcPr>
            <w:tcW w:w="275" w:type="dxa"/>
            <w:tcBorders/>
            <w:shd w:fill="FFFFFF" w:val="clear"/>
            <w:vAlign w:val="center"/>
          </w:tcPr>
          <w:p>
            <w:pPr>
              <w:pStyle w:val="TableContents"/>
              <w:bidi w:val="0"/>
              <w:spacing w:before="0" w:after="283"/>
              <w:jc w:val="center"/>
              <w:rPr/>
            </w:pPr>
            <w:r>
              <w:rPr/>
              <w:t>22</w:t>
            </w:r>
          </w:p>
        </w:tc>
      </w:tr>
      <w:tr>
        <w:trPr/>
        <w:tc>
          <w:tcPr>
            <w:tcW w:w="1220" w:type="dxa"/>
            <w:tcBorders/>
            <w:shd w:fill="CCEEFF" w:val="clear"/>
            <w:vAlign w:val="center"/>
          </w:tcPr>
          <w:p>
            <w:pPr>
              <w:pStyle w:val="TableContents"/>
              <w:bidi w:val="0"/>
              <w:spacing w:before="0" w:after="283"/>
              <w:jc w:val="left"/>
              <w:rPr/>
            </w:pPr>
            <w:r>
              <w:rPr/>
              <w:t>Section 7.02</w:t>
            </w:r>
          </w:p>
        </w:tc>
        <w:tc>
          <w:tcPr>
            <w:tcW w:w="5180" w:type="dxa"/>
            <w:tcBorders/>
            <w:shd w:fill="CCEEFF" w:val="clear"/>
            <w:vAlign w:val="center"/>
          </w:tcPr>
          <w:p>
            <w:pPr>
              <w:pStyle w:val="TableContents"/>
              <w:bidi w:val="0"/>
              <w:spacing w:before="0" w:after="283"/>
              <w:jc w:val="left"/>
              <w:rPr/>
            </w:pPr>
            <w:r>
              <w:rPr/>
              <w:t>Stock Certificates</w:t>
            </w:r>
          </w:p>
        </w:tc>
        <w:tc>
          <w:tcPr>
            <w:tcW w:w="275" w:type="dxa"/>
            <w:tcBorders/>
            <w:shd w:fill="CCEEFF" w:val="clear"/>
            <w:vAlign w:val="center"/>
          </w:tcPr>
          <w:p>
            <w:pPr>
              <w:pStyle w:val="TableContents"/>
              <w:bidi w:val="0"/>
              <w:spacing w:before="0" w:after="283"/>
              <w:jc w:val="center"/>
              <w:rPr/>
            </w:pPr>
            <w:r>
              <w:rPr/>
              <w:t>22</w:t>
            </w:r>
          </w:p>
        </w:tc>
      </w:tr>
      <w:tr>
        <w:trPr/>
        <w:tc>
          <w:tcPr>
            <w:tcW w:w="1220" w:type="dxa"/>
            <w:tcBorders/>
            <w:shd w:fill="FFFFFF" w:val="clear"/>
            <w:vAlign w:val="center"/>
          </w:tcPr>
          <w:p>
            <w:pPr>
              <w:pStyle w:val="TableContents"/>
              <w:bidi w:val="0"/>
              <w:spacing w:before="0" w:after="283"/>
              <w:jc w:val="left"/>
              <w:rPr/>
            </w:pPr>
            <w:r>
              <w:rPr/>
              <w:t>Section 7.03</w:t>
            </w:r>
          </w:p>
        </w:tc>
        <w:tc>
          <w:tcPr>
            <w:tcW w:w="5180" w:type="dxa"/>
            <w:tcBorders/>
            <w:shd w:fill="FFFFFF" w:val="clear"/>
            <w:vAlign w:val="center"/>
          </w:tcPr>
          <w:p>
            <w:pPr>
              <w:pStyle w:val="TableContents"/>
              <w:bidi w:val="0"/>
              <w:spacing w:before="0" w:after="283"/>
              <w:jc w:val="left"/>
              <w:rPr/>
            </w:pPr>
            <w:r>
              <w:rPr/>
              <w:t>Special Designation of Certificates</w:t>
            </w:r>
          </w:p>
        </w:tc>
        <w:tc>
          <w:tcPr>
            <w:tcW w:w="275" w:type="dxa"/>
            <w:tcBorders/>
            <w:shd w:fill="FFFFFF" w:val="clear"/>
            <w:vAlign w:val="center"/>
          </w:tcPr>
          <w:p>
            <w:pPr>
              <w:pStyle w:val="TableContents"/>
              <w:bidi w:val="0"/>
              <w:spacing w:before="0" w:after="283"/>
              <w:jc w:val="center"/>
              <w:rPr/>
            </w:pPr>
            <w:r>
              <w:rPr/>
              <w:t>22</w:t>
            </w:r>
          </w:p>
        </w:tc>
      </w:tr>
      <w:tr>
        <w:trPr/>
        <w:tc>
          <w:tcPr>
            <w:tcW w:w="1220" w:type="dxa"/>
            <w:tcBorders/>
            <w:shd w:fill="CCEEFF" w:val="clear"/>
            <w:vAlign w:val="center"/>
          </w:tcPr>
          <w:p>
            <w:pPr>
              <w:pStyle w:val="TableContents"/>
              <w:bidi w:val="0"/>
              <w:spacing w:before="0" w:after="283"/>
              <w:jc w:val="left"/>
              <w:rPr/>
            </w:pPr>
            <w:r>
              <w:rPr/>
              <w:t>Section 7.04</w:t>
            </w:r>
          </w:p>
        </w:tc>
        <w:tc>
          <w:tcPr>
            <w:tcW w:w="5180" w:type="dxa"/>
            <w:tcBorders/>
            <w:shd w:fill="CCEEFF" w:val="clear"/>
            <w:vAlign w:val="center"/>
          </w:tcPr>
          <w:p>
            <w:pPr>
              <w:pStyle w:val="TableContents"/>
              <w:bidi w:val="0"/>
              <w:spacing w:before="0" w:after="283"/>
              <w:jc w:val="left"/>
              <w:rPr/>
            </w:pPr>
            <w:r>
              <w:rPr/>
              <w:t>Lost Certificates</w:t>
            </w:r>
          </w:p>
        </w:tc>
        <w:tc>
          <w:tcPr>
            <w:tcW w:w="275" w:type="dxa"/>
            <w:tcBorders/>
            <w:shd w:fill="CCEEFF" w:val="clear"/>
            <w:vAlign w:val="center"/>
          </w:tcPr>
          <w:p>
            <w:pPr>
              <w:pStyle w:val="TableContents"/>
              <w:bidi w:val="0"/>
              <w:spacing w:before="0" w:after="283"/>
              <w:jc w:val="center"/>
              <w:rPr/>
            </w:pPr>
            <w:r>
              <w:rPr/>
              <w:t>23</w:t>
            </w:r>
          </w:p>
        </w:tc>
      </w:tr>
      <w:tr>
        <w:trPr/>
        <w:tc>
          <w:tcPr>
            <w:tcW w:w="1220" w:type="dxa"/>
            <w:tcBorders/>
            <w:shd w:fill="FFFFFF" w:val="clear"/>
            <w:vAlign w:val="center"/>
          </w:tcPr>
          <w:p>
            <w:pPr>
              <w:pStyle w:val="TableContents"/>
              <w:bidi w:val="0"/>
              <w:spacing w:before="0" w:after="283"/>
              <w:jc w:val="left"/>
              <w:rPr/>
            </w:pPr>
            <w:r>
              <w:rPr/>
              <w:t>Section 7.05</w:t>
            </w:r>
          </w:p>
        </w:tc>
        <w:tc>
          <w:tcPr>
            <w:tcW w:w="5180" w:type="dxa"/>
            <w:tcBorders/>
            <w:shd w:fill="FFFFFF" w:val="clear"/>
            <w:vAlign w:val="center"/>
          </w:tcPr>
          <w:p>
            <w:pPr>
              <w:pStyle w:val="TableContents"/>
              <w:bidi w:val="0"/>
              <w:spacing w:before="0" w:after="283"/>
              <w:jc w:val="left"/>
              <w:rPr/>
            </w:pPr>
            <w:r>
              <w:rPr/>
              <w:t>Shares Without Certificates</w:t>
            </w:r>
          </w:p>
        </w:tc>
        <w:tc>
          <w:tcPr>
            <w:tcW w:w="275" w:type="dxa"/>
            <w:tcBorders/>
            <w:shd w:fill="FFFFFF" w:val="clear"/>
            <w:vAlign w:val="center"/>
          </w:tcPr>
          <w:p>
            <w:pPr>
              <w:pStyle w:val="TableContents"/>
              <w:bidi w:val="0"/>
              <w:spacing w:before="0" w:after="283"/>
              <w:jc w:val="center"/>
              <w:rPr/>
            </w:pPr>
            <w:r>
              <w:rPr/>
              <w:t>23</w:t>
            </w:r>
          </w:p>
        </w:tc>
      </w:tr>
      <w:tr>
        <w:trPr/>
        <w:tc>
          <w:tcPr>
            <w:tcW w:w="1220" w:type="dxa"/>
            <w:tcBorders/>
            <w:shd w:fill="CCEEFF" w:val="clear"/>
            <w:vAlign w:val="center"/>
          </w:tcPr>
          <w:p>
            <w:pPr>
              <w:pStyle w:val="TableContents"/>
              <w:bidi w:val="0"/>
              <w:spacing w:before="0" w:after="283"/>
              <w:jc w:val="left"/>
              <w:rPr/>
            </w:pPr>
            <w:r>
              <w:rPr/>
              <w:t>Section 7.06</w:t>
            </w:r>
          </w:p>
        </w:tc>
        <w:tc>
          <w:tcPr>
            <w:tcW w:w="5180" w:type="dxa"/>
            <w:tcBorders/>
            <w:shd w:fill="CCEEFF" w:val="clear"/>
            <w:vAlign w:val="center"/>
          </w:tcPr>
          <w:p>
            <w:pPr>
              <w:pStyle w:val="TableContents"/>
              <w:bidi w:val="0"/>
              <w:spacing w:before="0" w:after="283"/>
              <w:jc w:val="left"/>
              <w:rPr/>
            </w:pPr>
            <w:r>
              <w:rPr/>
              <w:t>Construction; Definitions</w:t>
            </w:r>
          </w:p>
        </w:tc>
        <w:tc>
          <w:tcPr>
            <w:tcW w:w="275" w:type="dxa"/>
            <w:tcBorders/>
            <w:shd w:fill="CCEEFF" w:val="clear"/>
            <w:vAlign w:val="center"/>
          </w:tcPr>
          <w:p>
            <w:pPr>
              <w:pStyle w:val="TableContents"/>
              <w:bidi w:val="0"/>
              <w:spacing w:before="0" w:after="283"/>
              <w:jc w:val="center"/>
              <w:rPr/>
            </w:pPr>
            <w:r>
              <w:rPr/>
              <w:t>23</w:t>
            </w:r>
          </w:p>
        </w:tc>
      </w:tr>
      <w:tr>
        <w:trPr/>
        <w:tc>
          <w:tcPr>
            <w:tcW w:w="1220" w:type="dxa"/>
            <w:tcBorders/>
            <w:shd w:fill="FFFFFF" w:val="clear"/>
            <w:vAlign w:val="center"/>
          </w:tcPr>
          <w:p>
            <w:pPr>
              <w:pStyle w:val="TableContents"/>
              <w:bidi w:val="0"/>
              <w:spacing w:before="0" w:after="283"/>
              <w:jc w:val="left"/>
              <w:rPr/>
            </w:pPr>
            <w:r>
              <w:rPr/>
              <w:t>Section 7.07</w:t>
            </w:r>
          </w:p>
        </w:tc>
        <w:tc>
          <w:tcPr>
            <w:tcW w:w="5180" w:type="dxa"/>
            <w:tcBorders/>
            <w:shd w:fill="FFFFFF" w:val="clear"/>
            <w:vAlign w:val="center"/>
          </w:tcPr>
          <w:p>
            <w:pPr>
              <w:pStyle w:val="TableContents"/>
              <w:bidi w:val="0"/>
              <w:spacing w:before="0" w:after="283"/>
              <w:jc w:val="left"/>
              <w:rPr/>
            </w:pPr>
            <w:r>
              <w:rPr/>
              <w:t>Dividends</w:t>
            </w:r>
          </w:p>
        </w:tc>
        <w:tc>
          <w:tcPr>
            <w:tcW w:w="275" w:type="dxa"/>
            <w:tcBorders/>
            <w:shd w:fill="FFFFFF" w:val="clear"/>
            <w:vAlign w:val="center"/>
          </w:tcPr>
          <w:p>
            <w:pPr>
              <w:pStyle w:val="TableContents"/>
              <w:bidi w:val="0"/>
              <w:spacing w:before="0" w:after="283"/>
              <w:jc w:val="center"/>
              <w:rPr/>
            </w:pPr>
            <w:r>
              <w:rPr/>
              <w:t>23</w:t>
            </w:r>
          </w:p>
        </w:tc>
      </w:tr>
      <w:tr>
        <w:trPr/>
        <w:tc>
          <w:tcPr>
            <w:tcW w:w="1220" w:type="dxa"/>
            <w:tcBorders/>
            <w:shd w:fill="CCEEFF" w:val="clear"/>
            <w:vAlign w:val="center"/>
          </w:tcPr>
          <w:p>
            <w:pPr>
              <w:pStyle w:val="TableContents"/>
              <w:bidi w:val="0"/>
              <w:spacing w:before="0" w:after="283"/>
              <w:jc w:val="left"/>
              <w:rPr/>
            </w:pPr>
            <w:r>
              <w:rPr/>
              <w:t>Section 7.08</w:t>
            </w:r>
          </w:p>
        </w:tc>
        <w:tc>
          <w:tcPr>
            <w:tcW w:w="5180" w:type="dxa"/>
            <w:tcBorders/>
            <w:shd w:fill="CCEEFF" w:val="clear"/>
            <w:vAlign w:val="center"/>
          </w:tcPr>
          <w:p>
            <w:pPr>
              <w:pStyle w:val="TableContents"/>
              <w:bidi w:val="0"/>
              <w:spacing w:before="0" w:after="283"/>
              <w:jc w:val="left"/>
              <w:rPr/>
            </w:pPr>
            <w:r>
              <w:rPr/>
              <w:t>Fiscal Year</w:t>
            </w:r>
          </w:p>
        </w:tc>
        <w:tc>
          <w:tcPr>
            <w:tcW w:w="275" w:type="dxa"/>
            <w:tcBorders/>
            <w:shd w:fill="CCEEFF" w:val="clear"/>
            <w:vAlign w:val="center"/>
          </w:tcPr>
          <w:p>
            <w:pPr>
              <w:pStyle w:val="TableContents"/>
              <w:bidi w:val="0"/>
              <w:spacing w:before="0" w:after="283"/>
              <w:jc w:val="center"/>
              <w:rPr/>
            </w:pPr>
            <w:r>
              <w:rPr/>
              <w:t>23</w:t>
            </w:r>
          </w:p>
        </w:tc>
      </w:tr>
      <w:tr>
        <w:trPr/>
        <w:tc>
          <w:tcPr>
            <w:tcW w:w="1220" w:type="dxa"/>
            <w:tcBorders/>
            <w:shd w:fill="FFFFFF" w:val="clear"/>
            <w:vAlign w:val="center"/>
          </w:tcPr>
          <w:p>
            <w:pPr>
              <w:pStyle w:val="TableContents"/>
              <w:bidi w:val="0"/>
              <w:spacing w:before="0" w:after="283"/>
              <w:jc w:val="left"/>
              <w:rPr/>
            </w:pPr>
            <w:r>
              <w:rPr/>
              <w:t>Section 7.09</w:t>
            </w:r>
          </w:p>
        </w:tc>
        <w:tc>
          <w:tcPr>
            <w:tcW w:w="5180" w:type="dxa"/>
            <w:tcBorders/>
            <w:shd w:fill="FFFFFF" w:val="clear"/>
            <w:vAlign w:val="center"/>
          </w:tcPr>
          <w:p>
            <w:pPr>
              <w:pStyle w:val="TableContents"/>
              <w:bidi w:val="0"/>
              <w:spacing w:before="0" w:after="283"/>
              <w:jc w:val="left"/>
              <w:rPr/>
            </w:pPr>
            <w:r>
              <w:rPr/>
              <w:t>Seal</w:t>
            </w:r>
          </w:p>
        </w:tc>
        <w:tc>
          <w:tcPr>
            <w:tcW w:w="275" w:type="dxa"/>
            <w:tcBorders/>
            <w:shd w:fill="FFFFFF" w:val="clear"/>
            <w:vAlign w:val="center"/>
          </w:tcPr>
          <w:p>
            <w:pPr>
              <w:pStyle w:val="TableContents"/>
              <w:bidi w:val="0"/>
              <w:spacing w:before="0" w:after="283"/>
              <w:jc w:val="center"/>
              <w:rPr/>
            </w:pPr>
            <w:r>
              <w:rPr/>
              <w:t>23</w:t>
            </w:r>
          </w:p>
        </w:tc>
      </w:tr>
      <w:tr>
        <w:trPr/>
        <w:tc>
          <w:tcPr>
            <w:tcW w:w="1220" w:type="dxa"/>
            <w:tcBorders/>
            <w:shd w:fill="CCEEFF" w:val="clear"/>
            <w:vAlign w:val="center"/>
          </w:tcPr>
          <w:p>
            <w:pPr>
              <w:pStyle w:val="TableContents"/>
              <w:bidi w:val="0"/>
              <w:spacing w:before="0" w:after="283"/>
              <w:jc w:val="left"/>
              <w:rPr/>
            </w:pPr>
            <w:r>
              <w:rPr/>
              <w:t>Section 7.10</w:t>
            </w:r>
          </w:p>
        </w:tc>
        <w:tc>
          <w:tcPr>
            <w:tcW w:w="5180" w:type="dxa"/>
            <w:tcBorders/>
            <w:shd w:fill="CCEEFF" w:val="clear"/>
            <w:vAlign w:val="center"/>
          </w:tcPr>
          <w:p>
            <w:pPr>
              <w:pStyle w:val="TableContents"/>
              <w:bidi w:val="0"/>
              <w:spacing w:before="0" w:after="283"/>
              <w:jc w:val="left"/>
              <w:rPr/>
            </w:pPr>
            <w:r>
              <w:rPr/>
              <w:t>Transfer of Stock</w:t>
            </w:r>
          </w:p>
        </w:tc>
        <w:tc>
          <w:tcPr>
            <w:tcW w:w="275" w:type="dxa"/>
            <w:tcBorders/>
            <w:shd w:fill="CCEEFF" w:val="clear"/>
            <w:vAlign w:val="center"/>
          </w:tcPr>
          <w:p>
            <w:pPr>
              <w:pStyle w:val="TableContents"/>
              <w:bidi w:val="0"/>
              <w:spacing w:before="0" w:after="283"/>
              <w:jc w:val="center"/>
              <w:rPr/>
            </w:pPr>
            <w:r>
              <w:rPr/>
              <w:t>23</w:t>
            </w:r>
          </w:p>
        </w:tc>
      </w:tr>
      <w:tr>
        <w:trPr/>
        <w:tc>
          <w:tcPr>
            <w:tcW w:w="1220" w:type="dxa"/>
            <w:tcBorders/>
            <w:shd w:fill="FFFFFF" w:val="clear"/>
            <w:vAlign w:val="center"/>
          </w:tcPr>
          <w:p>
            <w:pPr>
              <w:pStyle w:val="TableContents"/>
              <w:bidi w:val="0"/>
              <w:spacing w:before="0" w:after="283"/>
              <w:jc w:val="left"/>
              <w:rPr/>
            </w:pPr>
            <w:r>
              <w:rPr/>
              <w:t>Section 7.11</w:t>
            </w:r>
          </w:p>
        </w:tc>
        <w:tc>
          <w:tcPr>
            <w:tcW w:w="5180" w:type="dxa"/>
            <w:tcBorders/>
            <w:shd w:fill="FFFFFF" w:val="clear"/>
            <w:vAlign w:val="center"/>
          </w:tcPr>
          <w:p>
            <w:pPr>
              <w:pStyle w:val="TableContents"/>
              <w:bidi w:val="0"/>
              <w:spacing w:before="0" w:after="283"/>
              <w:jc w:val="left"/>
              <w:rPr/>
            </w:pPr>
            <w:r>
              <w:rPr/>
              <w:t>Stock Transfer Agreements</w:t>
            </w:r>
          </w:p>
        </w:tc>
        <w:tc>
          <w:tcPr>
            <w:tcW w:w="275" w:type="dxa"/>
            <w:tcBorders/>
            <w:shd w:fill="FFFFFF" w:val="clear"/>
            <w:vAlign w:val="center"/>
          </w:tcPr>
          <w:p>
            <w:pPr>
              <w:pStyle w:val="TableContents"/>
              <w:bidi w:val="0"/>
              <w:spacing w:before="0" w:after="283"/>
              <w:jc w:val="center"/>
              <w:rPr/>
            </w:pPr>
            <w:r>
              <w:rPr/>
              <w:t>24</w:t>
            </w:r>
          </w:p>
        </w:tc>
      </w:tr>
      <w:tr>
        <w:trPr/>
        <w:tc>
          <w:tcPr>
            <w:tcW w:w="1220" w:type="dxa"/>
            <w:tcBorders/>
            <w:shd w:fill="CCEEFF" w:val="clear"/>
            <w:vAlign w:val="center"/>
          </w:tcPr>
          <w:p>
            <w:pPr>
              <w:pStyle w:val="TableContents"/>
              <w:bidi w:val="0"/>
              <w:spacing w:before="0" w:after="283"/>
              <w:jc w:val="left"/>
              <w:rPr/>
            </w:pPr>
            <w:r>
              <w:rPr/>
              <w:t>Section 7.12</w:t>
            </w:r>
          </w:p>
        </w:tc>
        <w:tc>
          <w:tcPr>
            <w:tcW w:w="5180" w:type="dxa"/>
            <w:tcBorders/>
            <w:shd w:fill="CCEEFF" w:val="clear"/>
            <w:vAlign w:val="center"/>
          </w:tcPr>
          <w:p>
            <w:pPr>
              <w:pStyle w:val="TableContents"/>
              <w:bidi w:val="0"/>
              <w:spacing w:before="0" w:after="283"/>
              <w:jc w:val="left"/>
              <w:rPr/>
            </w:pPr>
            <w:r>
              <w:rPr/>
              <w:t>Registered Stockholders</w:t>
            </w:r>
          </w:p>
        </w:tc>
        <w:tc>
          <w:tcPr>
            <w:tcW w:w="275" w:type="dxa"/>
            <w:tcBorders/>
            <w:shd w:fill="CCEEFF" w:val="clear"/>
            <w:vAlign w:val="center"/>
          </w:tcPr>
          <w:p>
            <w:pPr>
              <w:pStyle w:val="TableContents"/>
              <w:bidi w:val="0"/>
              <w:spacing w:before="0" w:after="283"/>
              <w:jc w:val="center"/>
              <w:rPr/>
            </w:pPr>
            <w:r>
              <w:rPr/>
              <w:t>24</w:t>
            </w:r>
          </w:p>
        </w:tc>
      </w:tr>
      <w:tr>
        <w:trPr/>
        <w:tc>
          <w:tcPr>
            <w:tcW w:w="1220" w:type="dxa"/>
            <w:tcBorders/>
            <w:shd w:fill="FFFFFF" w:val="clear"/>
            <w:vAlign w:val="center"/>
          </w:tcPr>
          <w:p>
            <w:pPr>
              <w:pStyle w:val="TableContents"/>
              <w:bidi w:val="0"/>
              <w:spacing w:before="0" w:after="283"/>
              <w:jc w:val="left"/>
              <w:rPr/>
            </w:pPr>
            <w:r>
              <w:rPr/>
              <w:t>Section 7.13</w:t>
            </w:r>
          </w:p>
        </w:tc>
        <w:tc>
          <w:tcPr>
            <w:tcW w:w="5180" w:type="dxa"/>
            <w:tcBorders/>
            <w:shd w:fill="FFFFFF" w:val="clear"/>
            <w:vAlign w:val="center"/>
          </w:tcPr>
          <w:p>
            <w:pPr>
              <w:pStyle w:val="TableContents"/>
              <w:bidi w:val="0"/>
              <w:spacing w:before="0" w:after="283"/>
              <w:jc w:val="left"/>
              <w:rPr/>
            </w:pPr>
            <w:r>
              <w:rPr/>
              <w:t>Waiver of Notice</w:t>
            </w:r>
          </w:p>
        </w:tc>
        <w:tc>
          <w:tcPr>
            <w:tcW w:w="275" w:type="dxa"/>
            <w:tcBorders/>
            <w:shd w:fill="FFFFFF" w:val="clear"/>
            <w:vAlign w:val="center"/>
          </w:tcPr>
          <w:p>
            <w:pPr>
              <w:pStyle w:val="TableContents"/>
              <w:bidi w:val="0"/>
              <w:spacing w:before="0" w:after="283"/>
              <w:jc w:val="center"/>
              <w:rPr/>
            </w:pPr>
            <w:r>
              <w:rPr/>
              <w:t>24</w:t>
            </w:r>
          </w:p>
        </w:tc>
      </w:tr>
      <w:tr>
        <w:trPr/>
        <w:tc>
          <w:tcPr>
            <w:tcW w:w="1220" w:type="dxa"/>
            <w:tcBorders/>
            <w:shd w:fill="CCEEFF" w:val="clear"/>
            <w:vAlign w:val="center"/>
          </w:tcPr>
          <w:p>
            <w:pPr>
              <w:pStyle w:val="TableContents"/>
              <w:bidi w:val="0"/>
              <w:spacing w:before="0" w:after="283"/>
              <w:jc w:val="left"/>
              <w:rPr/>
            </w:pPr>
            <w:r>
              <w:rPr/>
              <w:t> </w:t>
            </w:r>
          </w:p>
        </w:tc>
        <w:tc>
          <w:tcPr>
            <w:tcW w:w="518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400" w:type="dxa"/>
            <w:gridSpan w:val="2"/>
            <w:tcBorders/>
            <w:shd w:fill="FFFFFF" w:val="clear"/>
            <w:vAlign w:val="center"/>
          </w:tcPr>
          <w:p>
            <w:pPr>
              <w:pStyle w:val="TableContents"/>
              <w:bidi w:val="0"/>
              <w:spacing w:before="0" w:after="283"/>
              <w:jc w:val="left"/>
              <w:rPr/>
            </w:pPr>
            <w:r>
              <w:rPr/>
              <w:t>ARTICLE VIII. NOTICE</w:t>
            </w:r>
          </w:p>
        </w:tc>
        <w:tc>
          <w:tcPr>
            <w:tcW w:w="275" w:type="dxa"/>
            <w:tcBorders/>
            <w:shd w:fill="FFFFFF" w:val="clear"/>
            <w:vAlign w:val="center"/>
          </w:tcPr>
          <w:p>
            <w:pPr>
              <w:pStyle w:val="TableContents"/>
              <w:bidi w:val="0"/>
              <w:spacing w:before="0" w:after="283"/>
              <w:jc w:val="center"/>
              <w:rPr/>
            </w:pPr>
            <w:r>
              <w:rPr/>
              <w:t>24</w:t>
            </w:r>
          </w:p>
        </w:tc>
      </w:tr>
      <w:tr>
        <w:trPr/>
        <w:tc>
          <w:tcPr>
            <w:tcW w:w="1220" w:type="dxa"/>
            <w:tcBorders/>
            <w:shd w:fill="CCEEFF" w:val="clear"/>
            <w:vAlign w:val="center"/>
          </w:tcPr>
          <w:p>
            <w:pPr>
              <w:pStyle w:val="TableContents"/>
              <w:bidi w:val="0"/>
              <w:spacing w:before="0" w:after="283"/>
              <w:jc w:val="left"/>
              <w:rPr/>
            </w:pPr>
            <w:r>
              <w:rPr/>
              <w:t> </w:t>
            </w:r>
          </w:p>
        </w:tc>
        <w:tc>
          <w:tcPr>
            <w:tcW w:w="518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1220" w:type="dxa"/>
            <w:tcBorders/>
            <w:shd w:fill="FFFFFF" w:val="clear"/>
            <w:vAlign w:val="center"/>
          </w:tcPr>
          <w:p>
            <w:pPr>
              <w:pStyle w:val="TableContents"/>
              <w:bidi w:val="0"/>
              <w:spacing w:before="0" w:after="283"/>
              <w:jc w:val="left"/>
              <w:rPr/>
            </w:pPr>
            <w:r>
              <w:rPr/>
              <w:t>Section 8.01</w:t>
            </w:r>
          </w:p>
        </w:tc>
        <w:tc>
          <w:tcPr>
            <w:tcW w:w="5180" w:type="dxa"/>
            <w:tcBorders/>
            <w:shd w:fill="FFFFFF" w:val="clear"/>
            <w:vAlign w:val="center"/>
          </w:tcPr>
          <w:p>
            <w:pPr>
              <w:pStyle w:val="TableContents"/>
              <w:bidi w:val="0"/>
              <w:spacing w:before="0" w:after="283"/>
              <w:jc w:val="left"/>
              <w:rPr/>
            </w:pPr>
            <w:r>
              <w:rPr/>
              <w:t>Delivery of Notice; Notice by Electronic Transmission</w:t>
            </w:r>
          </w:p>
        </w:tc>
        <w:tc>
          <w:tcPr>
            <w:tcW w:w="275" w:type="dxa"/>
            <w:tcBorders/>
            <w:shd w:fill="FFFFFF" w:val="clear"/>
            <w:vAlign w:val="center"/>
          </w:tcPr>
          <w:p>
            <w:pPr>
              <w:pStyle w:val="TableContents"/>
              <w:bidi w:val="0"/>
              <w:spacing w:before="0" w:after="283"/>
              <w:jc w:val="center"/>
              <w:rPr/>
            </w:pPr>
            <w:r>
              <w:rPr/>
              <w:t>24</w:t>
            </w:r>
          </w:p>
        </w:tc>
      </w:tr>
      <w:tr>
        <w:trPr/>
        <w:tc>
          <w:tcPr>
            <w:tcW w:w="1220" w:type="dxa"/>
            <w:tcBorders/>
            <w:shd w:fill="CCEEFF" w:val="clear"/>
            <w:vAlign w:val="center"/>
          </w:tcPr>
          <w:p>
            <w:pPr>
              <w:pStyle w:val="TableContents"/>
              <w:bidi w:val="0"/>
              <w:spacing w:before="0" w:after="283"/>
              <w:jc w:val="left"/>
              <w:rPr/>
            </w:pPr>
            <w:r>
              <w:rPr/>
              <w:t> </w:t>
            </w:r>
          </w:p>
        </w:tc>
        <w:tc>
          <w:tcPr>
            <w:tcW w:w="518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400" w:type="dxa"/>
            <w:gridSpan w:val="2"/>
            <w:tcBorders/>
            <w:shd w:fill="FFFFFF" w:val="clear"/>
            <w:vAlign w:val="center"/>
          </w:tcPr>
          <w:p>
            <w:pPr>
              <w:pStyle w:val="TableContents"/>
              <w:bidi w:val="0"/>
              <w:spacing w:before="0" w:after="283"/>
              <w:jc w:val="left"/>
              <w:rPr/>
            </w:pPr>
            <w:r>
              <w:rPr/>
              <w:t xml:space="preserve">ARTICLE IX. INDEMNIFICATION </w:t>
            </w:r>
          </w:p>
        </w:tc>
        <w:tc>
          <w:tcPr>
            <w:tcW w:w="275" w:type="dxa"/>
            <w:tcBorders/>
            <w:shd w:fill="FFFFFF" w:val="clear"/>
            <w:vAlign w:val="center"/>
          </w:tcPr>
          <w:p>
            <w:pPr>
              <w:pStyle w:val="TableContents"/>
              <w:bidi w:val="0"/>
              <w:spacing w:before="0" w:after="283"/>
              <w:jc w:val="center"/>
              <w:rPr/>
            </w:pPr>
            <w:r>
              <w:rPr/>
              <w:t>25</w:t>
            </w:r>
          </w:p>
        </w:tc>
      </w:tr>
      <w:tr>
        <w:trPr/>
        <w:tc>
          <w:tcPr>
            <w:tcW w:w="1220" w:type="dxa"/>
            <w:tcBorders/>
            <w:shd w:fill="CCEEFF" w:val="clear"/>
            <w:vAlign w:val="center"/>
          </w:tcPr>
          <w:p>
            <w:pPr>
              <w:pStyle w:val="TableContents"/>
              <w:bidi w:val="0"/>
              <w:spacing w:before="0" w:after="283"/>
              <w:jc w:val="left"/>
              <w:rPr/>
            </w:pPr>
            <w:r>
              <w:rPr/>
              <w:t> </w:t>
            </w:r>
          </w:p>
        </w:tc>
        <w:tc>
          <w:tcPr>
            <w:tcW w:w="518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1220" w:type="dxa"/>
            <w:tcBorders/>
            <w:shd w:fill="FFFFFF" w:val="clear"/>
            <w:vAlign w:val="center"/>
          </w:tcPr>
          <w:p>
            <w:pPr>
              <w:pStyle w:val="TableContents"/>
              <w:bidi w:val="0"/>
              <w:spacing w:before="0" w:after="283"/>
              <w:jc w:val="left"/>
              <w:rPr/>
            </w:pPr>
            <w:r>
              <w:rPr/>
              <w:t>Section 9.01</w:t>
            </w:r>
          </w:p>
        </w:tc>
        <w:tc>
          <w:tcPr>
            <w:tcW w:w="5180" w:type="dxa"/>
            <w:tcBorders/>
            <w:shd w:fill="FFFFFF" w:val="clear"/>
            <w:vAlign w:val="center"/>
          </w:tcPr>
          <w:p>
            <w:pPr>
              <w:pStyle w:val="TableContents"/>
              <w:bidi w:val="0"/>
              <w:spacing w:before="0" w:after="283"/>
              <w:jc w:val="left"/>
              <w:rPr/>
            </w:pPr>
            <w:r>
              <w:rPr/>
              <w:t>Indemnification of Directors and Officers</w:t>
            </w:r>
          </w:p>
        </w:tc>
        <w:tc>
          <w:tcPr>
            <w:tcW w:w="275" w:type="dxa"/>
            <w:tcBorders/>
            <w:shd w:fill="FFFFFF" w:val="clear"/>
            <w:vAlign w:val="center"/>
          </w:tcPr>
          <w:p>
            <w:pPr>
              <w:pStyle w:val="TableContents"/>
              <w:bidi w:val="0"/>
              <w:spacing w:before="0" w:after="283"/>
              <w:jc w:val="center"/>
              <w:rPr/>
            </w:pPr>
            <w:r>
              <w:rPr/>
              <w:t>25</w:t>
            </w:r>
          </w:p>
        </w:tc>
      </w:tr>
      <w:tr>
        <w:trPr/>
        <w:tc>
          <w:tcPr>
            <w:tcW w:w="1220" w:type="dxa"/>
            <w:tcBorders/>
            <w:shd w:fill="CCEEFF" w:val="clear"/>
            <w:vAlign w:val="center"/>
          </w:tcPr>
          <w:p>
            <w:pPr>
              <w:pStyle w:val="TableContents"/>
              <w:bidi w:val="0"/>
              <w:spacing w:before="0" w:after="283"/>
              <w:jc w:val="left"/>
              <w:rPr/>
            </w:pPr>
            <w:r>
              <w:rPr/>
              <w:t>Section 9.02</w:t>
            </w:r>
          </w:p>
        </w:tc>
        <w:tc>
          <w:tcPr>
            <w:tcW w:w="5180" w:type="dxa"/>
            <w:tcBorders/>
            <w:shd w:fill="CCEEFF" w:val="clear"/>
            <w:vAlign w:val="center"/>
          </w:tcPr>
          <w:p>
            <w:pPr>
              <w:pStyle w:val="TableContents"/>
              <w:bidi w:val="0"/>
              <w:spacing w:before="0" w:after="283"/>
              <w:jc w:val="left"/>
              <w:rPr/>
            </w:pPr>
            <w:r>
              <w:rPr/>
              <w:t>Indemnification of Others</w:t>
            </w:r>
          </w:p>
        </w:tc>
        <w:tc>
          <w:tcPr>
            <w:tcW w:w="275" w:type="dxa"/>
            <w:tcBorders/>
            <w:shd w:fill="CCEEFF" w:val="clear"/>
            <w:vAlign w:val="center"/>
          </w:tcPr>
          <w:p>
            <w:pPr>
              <w:pStyle w:val="TableContents"/>
              <w:bidi w:val="0"/>
              <w:spacing w:before="0" w:after="283"/>
              <w:jc w:val="center"/>
              <w:rPr/>
            </w:pPr>
            <w:r>
              <w:rPr/>
              <w:t>25</w:t>
            </w:r>
          </w:p>
        </w:tc>
      </w:tr>
      <w:tr>
        <w:trPr/>
        <w:tc>
          <w:tcPr>
            <w:tcW w:w="1220" w:type="dxa"/>
            <w:tcBorders/>
            <w:shd w:fill="FFFFFF" w:val="clear"/>
            <w:vAlign w:val="center"/>
          </w:tcPr>
          <w:p>
            <w:pPr>
              <w:pStyle w:val="TableContents"/>
              <w:bidi w:val="0"/>
              <w:spacing w:before="0" w:after="283"/>
              <w:jc w:val="left"/>
              <w:rPr/>
            </w:pPr>
            <w:r>
              <w:rPr/>
              <w:t>Section 9.03</w:t>
            </w:r>
          </w:p>
        </w:tc>
        <w:tc>
          <w:tcPr>
            <w:tcW w:w="5180" w:type="dxa"/>
            <w:tcBorders/>
            <w:shd w:fill="FFFFFF" w:val="clear"/>
            <w:vAlign w:val="center"/>
          </w:tcPr>
          <w:p>
            <w:pPr>
              <w:pStyle w:val="TableContents"/>
              <w:bidi w:val="0"/>
              <w:spacing w:before="0" w:after="283"/>
              <w:jc w:val="left"/>
              <w:rPr/>
            </w:pPr>
            <w:r>
              <w:rPr/>
              <w:t>Prepayment of Expenses</w:t>
            </w:r>
          </w:p>
        </w:tc>
        <w:tc>
          <w:tcPr>
            <w:tcW w:w="275" w:type="dxa"/>
            <w:tcBorders/>
            <w:shd w:fill="FFFFFF" w:val="clear"/>
            <w:vAlign w:val="center"/>
          </w:tcPr>
          <w:p>
            <w:pPr>
              <w:pStyle w:val="TableContents"/>
              <w:bidi w:val="0"/>
              <w:spacing w:before="0" w:after="283"/>
              <w:jc w:val="center"/>
              <w:rPr/>
            </w:pPr>
            <w:r>
              <w:rPr/>
              <w:t>26</w:t>
            </w:r>
          </w:p>
        </w:tc>
      </w:tr>
      <w:tr>
        <w:trPr/>
        <w:tc>
          <w:tcPr>
            <w:tcW w:w="1220" w:type="dxa"/>
            <w:tcBorders/>
            <w:shd w:fill="CCEEFF" w:val="clear"/>
            <w:vAlign w:val="center"/>
          </w:tcPr>
          <w:p>
            <w:pPr>
              <w:pStyle w:val="TableContents"/>
              <w:bidi w:val="0"/>
              <w:spacing w:before="0" w:after="283"/>
              <w:jc w:val="left"/>
              <w:rPr/>
            </w:pPr>
            <w:r>
              <w:rPr/>
              <w:t>Section 9.04</w:t>
            </w:r>
          </w:p>
        </w:tc>
        <w:tc>
          <w:tcPr>
            <w:tcW w:w="5180" w:type="dxa"/>
            <w:tcBorders/>
            <w:shd w:fill="CCEEFF" w:val="clear"/>
            <w:vAlign w:val="center"/>
          </w:tcPr>
          <w:p>
            <w:pPr>
              <w:pStyle w:val="TableContents"/>
              <w:bidi w:val="0"/>
              <w:spacing w:before="0" w:after="283"/>
              <w:jc w:val="left"/>
              <w:rPr/>
            </w:pPr>
            <w:r>
              <w:rPr/>
              <w:t>Determination; Claim</w:t>
            </w:r>
          </w:p>
        </w:tc>
        <w:tc>
          <w:tcPr>
            <w:tcW w:w="275" w:type="dxa"/>
            <w:tcBorders/>
            <w:shd w:fill="CCEEFF" w:val="clear"/>
            <w:vAlign w:val="center"/>
          </w:tcPr>
          <w:p>
            <w:pPr>
              <w:pStyle w:val="TableContents"/>
              <w:bidi w:val="0"/>
              <w:spacing w:before="0" w:after="283"/>
              <w:jc w:val="center"/>
              <w:rPr/>
            </w:pPr>
            <w:r>
              <w:rPr/>
              <w:t>26</w:t>
            </w:r>
          </w:p>
        </w:tc>
      </w:tr>
      <w:tr>
        <w:trPr/>
        <w:tc>
          <w:tcPr>
            <w:tcW w:w="1220" w:type="dxa"/>
            <w:tcBorders/>
            <w:shd w:fill="FFFFFF" w:val="clear"/>
            <w:vAlign w:val="center"/>
          </w:tcPr>
          <w:p>
            <w:pPr>
              <w:pStyle w:val="TableContents"/>
              <w:bidi w:val="0"/>
              <w:spacing w:before="0" w:after="283"/>
              <w:jc w:val="left"/>
              <w:rPr/>
            </w:pPr>
            <w:r>
              <w:rPr/>
              <w:t>Section 9.05</w:t>
            </w:r>
          </w:p>
        </w:tc>
        <w:tc>
          <w:tcPr>
            <w:tcW w:w="5180" w:type="dxa"/>
            <w:tcBorders/>
            <w:shd w:fill="FFFFFF" w:val="clear"/>
            <w:vAlign w:val="center"/>
          </w:tcPr>
          <w:p>
            <w:pPr>
              <w:pStyle w:val="TableContents"/>
              <w:bidi w:val="0"/>
              <w:spacing w:before="0" w:after="283"/>
              <w:jc w:val="left"/>
              <w:rPr/>
            </w:pPr>
            <w:r>
              <w:rPr/>
              <w:t>Non-Exclusivity of Rights</w:t>
            </w:r>
          </w:p>
        </w:tc>
        <w:tc>
          <w:tcPr>
            <w:tcW w:w="275" w:type="dxa"/>
            <w:tcBorders/>
            <w:shd w:fill="FFFFFF" w:val="clear"/>
            <w:vAlign w:val="center"/>
          </w:tcPr>
          <w:p>
            <w:pPr>
              <w:pStyle w:val="TableContents"/>
              <w:bidi w:val="0"/>
              <w:spacing w:before="0" w:after="283"/>
              <w:jc w:val="center"/>
              <w:rPr/>
            </w:pPr>
            <w:r>
              <w:rPr/>
              <w:t>26</w:t>
            </w:r>
          </w:p>
        </w:tc>
      </w:tr>
      <w:tr>
        <w:trPr/>
        <w:tc>
          <w:tcPr>
            <w:tcW w:w="1220" w:type="dxa"/>
            <w:tcBorders/>
            <w:shd w:fill="CCEEFF" w:val="clear"/>
            <w:vAlign w:val="center"/>
          </w:tcPr>
          <w:p>
            <w:pPr>
              <w:pStyle w:val="TableContents"/>
              <w:bidi w:val="0"/>
              <w:spacing w:before="0" w:after="283"/>
              <w:jc w:val="left"/>
              <w:rPr/>
            </w:pPr>
            <w:r>
              <w:rPr/>
              <w:t>Section 9.06</w:t>
            </w:r>
          </w:p>
        </w:tc>
        <w:tc>
          <w:tcPr>
            <w:tcW w:w="5180" w:type="dxa"/>
            <w:tcBorders/>
            <w:shd w:fill="CCEEFF" w:val="clear"/>
            <w:vAlign w:val="center"/>
          </w:tcPr>
          <w:p>
            <w:pPr>
              <w:pStyle w:val="TableContents"/>
              <w:bidi w:val="0"/>
              <w:spacing w:before="0" w:after="283"/>
              <w:jc w:val="left"/>
              <w:rPr/>
            </w:pPr>
            <w:r>
              <w:rPr/>
              <w:t>Insurance</w:t>
            </w:r>
          </w:p>
        </w:tc>
        <w:tc>
          <w:tcPr>
            <w:tcW w:w="275" w:type="dxa"/>
            <w:tcBorders/>
            <w:shd w:fill="CCEEFF" w:val="clear"/>
            <w:vAlign w:val="center"/>
          </w:tcPr>
          <w:p>
            <w:pPr>
              <w:pStyle w:val="TableContents"/>
              <w:bidi w:val="0"/>
              <w:spacing w:before="0" w:after="283"/>
              <w:jc w:val="center"/>
              <w:rPr/>
            </w:pPr>
            <w:r>
              <w:rPr/>
              <w:t>26</w:t>
            </w:r>
          </w:p>
        </w:tc>
      </w:tr>
      <w:tr>
        <w:trPr/>
        <w:tc>
          <w:tcPr>
            <w:tcW w:w="1220" w:type="dxa"/>
            <w:tcBorders/>
            <w:shd w:fill="FFFFFF" w:val="clear"/>
            <w:vAlign w:val="center"/>
          </w:tcPr>
          <w:p>
            <w:pPr>
              <w:pStyle w:val="TableContents"/>
              <w:bidi w:val="0"/>
              <w:spacing w:before="0" w:after="283"/>
              <w:jc w:val="left"/>
              <w:rPr/>
            </w:pPr>
            <w:r>
              <w:rPr/>
              <w:t>Section 9.07</w:t>
            </w:r>
          </w:p>
        </w:tc>
        <w:tc>
          <w:tcPr>
            <w:tcW w:w="5180" w:type="dxa"/>
            <w:tcBorders/>
            <w:shd w:fill="FFFFFF" w:val="clear"/>
            <w:vAlign w:val="center"/>
          </w:tcPr>
          <w:p>
            <w:pPr>
              <w:pStyle w:val="TableContents"/>
              <w:bidi w:val="0"/>
              <w:spacing w:before="0" w:after="283"/>
              <w:jc w:val="left"/>
              <w:rPr/>
            </w:pPr>
            <w:r>
              <w:rPr/>
              <w:t>Other Indemnification</w:t>
            </w:r>
          </w:p>
        </w:tc>
        <w:tc>
          <w:tcPr>
            <w:tcW w:w="275" w:type="dxa"/>
            <w:tcBorders/>
            <w:shd w:fill="FFFFFF" w:val="clear"/>
            <w:vAlign w:val="center"/>
          </w:tcPr>
          <w:p>
            <w:pPr>
              <w:pStyle w:val="TableContents"/>
              <w:bidi w:val="0"/>
              <w:spacing w:before="0" w:after="283"/>
              <w:jc w:val="center"/>
              <w:rPr/>
            </w:pPr>
            <w:r>
              <w:rPr/>
              <w:t>26</w:t>
            </w:r>
          </w:p>
        </w:tc>
      </w:tr>
      <w:tr>
        <w:trPr/>
        <w:tc>
          <w:tcPr>
            <w:tcW w:w="1220" w:type="dxa"/>
            <w:tcBorders/>
            <w:shd w:fill="CCEEFF" w:val="clear"/>
            <w:vAlign w:val="center"/>
          </w:tcPr>
          <w:p>
            <w:pPr>
              <w:pStyle w:val="TableContents"/>
              <w:bidi w:val="0"/>
              <w:spacing w:before="0" w:after="283"/>
              <w:jc w:val="left"/>
              <w:rPr/>
            </w:pPr>
            <w:r>
              <w:rPr/>
              <w:t>Section 9.08</w:t>
            </w:r>
          </w:p>
        </w:tc>
        <w:tc>
          <w:tcPr>
            <w:tcW w:w="5180" w:type="dxa"/>
            <w:tcBorders/>
            <w:shd w:fill="CCEEFF" w:val="clear"/>
            <w:vAlign w:val="center"/>
          </w:tcPr>
          <w:p>
            <w:pPr>
              <w:pStyle w:val="TableContents"/>
              <w:bidi w:val="0"/>
              <w:spacing w:before="0" w:after="283"/>
              <w:jc w:val="left"/>
              <w:rPr/>
            </w:pPr>
            <w:r>
              <w:rPr/>
              <w:t>Continuation of Indemnification</w:t>
            </w:r>
          </w:p>
        </w:tc>
        <w:tc>
          <w:tcPr>
            <w:tcW w:w="275" w:type="dxa"/>
            <w:tcBorders/>
            <w:shd w:fill="CCEEFF" w:val="clear"/>
            <w:vAlign w:val="center"/>
          </w:tcPr>
          <w:p>
            <w:pPr>
              <w:pStyle w:val="TableContents"/>
              <w:bidi w:val="0"/>
              <w:spacing w:before="0" w:after="283"/>
              <w:jc w:val="center"/>
              <w:rPr/>
            </w:pPr>
            <w:r>
              <w:rPr/>
              <w:t>26</w:t>
            </w:r>
          </w:p>
        </w:tc>
      </w:tr>
      <w:tr>
        <w:trPr/>
        <w:tc>
          <w:tcPr>
            <w:tcW w:w="1220" w:type="dxa"/>
            <w:tcBorders/>
            <w:shd w:fill="FFFFFF" w:val="clear"/>
            <w:vAlign w:val="center"/>
          </w:tcPr>
          <w:p>
            <w:pPr>
              <w:pStyle w:val="TableContents"/>
              <w:bidi w:val="0"/>
              <w:spacing w:before="0" w:after="283"/>
              <w:jc w:val="left"/>
              <w:rPr/>
            </w:pPr>
            <w:r>
              <w:rPr/>
              <w:t>Section 9.09</w:t>
            </w:r>
          </w:p>
        </w:tc>
        <w:tc>
          <w:tcPr>
            <w:tcW w:w="5180" w:type="dxa"/>
            <w:tcBorders/>
            <w:shd w:fill="FFFFFF" w:val="clear"/>
            <w:vAlign w:val="center"/>
          </w:tcPr>
          <w:p>
            <w:pPr>
              <w:pStyle w:val="TableContents"/>
              <w:bidi w:val="0"/>
              <w:spacing w:before="0" w:after="283"/>
              <w:jc w:val="left"/>
              <w:rPr/>
            </w:pPr>
            <w:r>
              <w:rPr/>
              <w:t>Amendment or Repeal; Interpretation</w:t>
            </w:r>
          </w:p>
        </w:tc>
        <w:tc>
          <w:tcPr>
            <w:tcW w:w="275" w:type="dxa"/>
            <w:tcBorders/>
            <w:shd w:fill="FFFFFF" w:val="clear"/>
            <w:vAlign w:val="center"/>
          </w:tcPr>
          <w:p>
            <w:pPr>
              <w:pStyle w:val="TableContents"/>
              <w:bidi w:val="0"/>
              <w:spacing w:before="0" w:after="283"/>
              <w:jc w:val="center"/>
              <w:rPr/>
            </w:pPr>
            <w:r>
              <w:rPr/>
              <w:t>27</w:t>
            </w:r>
          </w:p>
        </w:tc>
      </w:tr>
      <w:tr>
        <w:trPr/>
        <w:tc>
          <w:tcPr>
            <w:tcW w:w="1220" w:type="dxa"/>
            <w:tcBorders/>
            <w:shd w:fill="CCEEFF" w:val="clear"/>
            <w:vAlign w:val="center"/>
          </w:tcPr>
          <w:p>
            <w:pPr>
              <w:pStyle w:val="TableContents"/>
              <w:bidi w:val="0"/>
              <w:spacing w:before="0" w:after="283"/>
              <w:jc w:val="left"/>
              <w:rPr/>
            </w:pPr>
            <w:r>
              <w:rPr/>
              <w:t> </w:t>
            </w:r>
          </w:p>
        </w:tc>
        <w:tc>
          <w:tcPr>
            <w:tcW w:w="518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400" w:type="dxa"/>
            <w:gridSpan w:val="2"/>
            <w:tcBorders/>
            <w:shd w:fill="FFFFFF" w:val="clear"/>
            <w:vAlign w:val="center"/>
          </w:tcPr>
          <w:p>
            <w:pPr>
              <w:pStyle w:val="TableContents"/>
              <w:bidi w:val="0"/>
              <w:spacing w:before="0" w:after="283"/>
              <w:jc w:val="left"/>
              <w:rPr/>
            </w:pPr>
            <w:r>
              <w:rPr/>
              <w:t>ARTICLE X. AMENDMENTS</w:t>
            </w:r>
          </w:p>
        </w:tc>
        <w:tc>
          <w:tcPr>
            <w:tcW w:w="275" w:type="dxa"/>
            <w:tcBorders/>
            <w:shd w:fill="FFFFFF" w:val="clear"/>
            <w:vAlign w:val="center"/>
          </w:tcPr>
          <w:p>
            <w:pPr>
              <w:pStyle w:val="TableContents"/>
              <w:bidi w:val="0"/>
              <w:spacing w:before="0" w:after="283"/>
              <w:jc w:val="center"/>
              <w:rPr/>
            </w:pPr>
            <w:r>
              <w:rPr/>
              <w:t>27</w:t>
            </w:r>
          </w:p>
        </w:tc>
      </w:tr>
      <w:tr>
        <w:trPr/>
        <w:tc>
          <w:tcPr>
            <w:tcW w:w="1220" w:type="dxa"/>
            <w:tcBorders/>
            <w:shd w:fill="CCEEFF" w:val="clear"/>
            <w:vAlign w:val="center"/>
          </w:tcPr>
          <w:p>
            <w:pPr>
              <w:pStyle w:val="TableContents"/>
              <w:bidi w:val="0"/>
              <w:spacing w:before="0" w:after="283"/>
              <w:jc w:val="left"/>
              <w:rPr/>
            </w:pPr>
            <w:r>
              <w:rPr/>
              <w:t> </w:t>
            </w:r>
          </w:p>
        </w:tc>
        <w:tc>
          <w:tcPr>
            <w:tcW w:w="518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400" w:type="dxa"/>
            <w:gridSpan w:val="2"/>
            <w:tcBorders/>
            <w:shd w:fill="FFFFFF" w:val="clear"/>
            <w:vAlign w:val="center"/>
          </w:tcPr>
          <w:p>
            <w:pPr>
              <w:pStyle w:val="TableContents"/>
              <w:bidi w:val="0"/>
              <w:spacing w:before="0" w:after="283"/>
              <w:jc w:val="left"/>
              <w:rPr/>
            </w:pPr>
            <w:r>
              <w:rPr/>
              <w:t>ARTICLE XI. DEFINITIONS</w:t>
            </w:r>
          </w:p>
        </w:tc>
        <w:tc>
          <w:tcPr>
            <w:tcW w:w="275" w:type="dxa"/>
            <w:tcBorders/>
            <w:shd w:fill="FFFFFF" w:val="clear"/>
            <w:vAlign w:val="center"/>
          </w:tcPr>
          <w:p>
            <w:pPr>
              <w:pStyle w:val="TableContents"/>
              <w:bidi w:val="0"/>
              <w:spacing w:before="0" w:after="283"/>
              <w:jc w:val="center"/>
              <w:rPr/>
            </w:pPr>
            <w:r>
              <w:rPr/>
              <w:t>28</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OFFICERS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address of the registered office of Merlin, Inc., a Delaware corporation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in the State of Delaware, and the name of its registered agent at such address, shall be as set forth in the Corporation’s certificate of incorporation, as the same may be amended, restated or otherwise modified from time to time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Other Offices</w:t>
      </w:r>
      <w:r>
        <w:rPr>
          <w:rFonts w:ascii="Times New Roman;Times;Serif" w:hAnsi="Times New Roman;Times;Serif"/>
          <w:b w:val="false"/>
          <w:i w:val="false"/>
          <w:caps w:val="false"/>
          <w:smallCaps w:val="false"/>
          <w:sz w:val="20"/>
        </w:rPr>
        <w:t>. The Corporation may have additional offices at any place or places, within or outside the State of Delaware, as the Corporation’s board of directors (the “</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may from time to time establish or as the business of the Corporation may require.</w:t>
      </w:r>
    </w:p>
    <w:p>
      <w:pPr>
        <w:pStyle w:val="TextBody"/>
        <w:bidi w:val="0"/>
        <w:ind w:left="0" w:right="0" w:firstLine="112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STOCKHOLDERS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Place of Meetings</w:t>
      </w:r>
      <w:r>
        <w:rPr>
          <w:rFonts w:ascii="Times New Roman;Times;Serif" w:hAnsi="Times New Roman;Times;Serif"/>
          <w:b w:val="false"/>
          <w:i w:val="false"/>
          <w:caps w:val="false"/>
          <w:smallCaps w:val="false"/>
          <w:sz w:val="20"/>
        </w:rPr>
        <w:t>. Meetings of stockholders of the Corporation (the “</w:t>
      </w:r>
      <w:r>
        <w:rPr>
          <w:rFonts w:ascii="Times New Roman;Times;Serif" w:hAnsi="Times New Roman;Times;Serif"/>
          <w:b/>
          <w:i/>
          <w:caps w:val="false"/>
          <w:smallCaps w:val="false"/>
          <w:sz w:val="20"/>
        </w:rPr>
        <w:t>Stockholders</w:t>
      </w:r>
      <w:r>
        <w:rPr>
          <w:rFonts w:ascii="Times New Roman;Times;Serif" w:hAnsi="Times New Roman;Times;Serif"/>
          <w:b w:val="false"/>
          <w:i w:val="false"/>
          <w:caps w:val="false"/>
          <w:smallCaps w:val="false"/>
          <w:sz w:val="20"/>
        </w:rPr>
        <w:t>”), may be held at any place, within or without the State of Delaware, as may be designated by or in the manner determined by the Board of Directors. In the absence of such designation, meetings of Stockholders shall be held at the principal executive office of the Corporation. The Board of Directors may, in its sole discretion, determine that a meeting of Stockholders shall not be held at any place, but may instead be held solely by means of remote communication authorized by and in accordance with Section 211(a) of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Annual Meetings</w:t>
      </w:r>
      <w:r>
        <w:rPr>
          <w:rFonts w:ascii="Times New Roman;Times;Serif" w:hAnsi="Times New Roman;Times;Serif"/>
          <w:b w:val="false"/>
          <w:i w:val="false"/>
          <w:caps w:val="false"/>
          <w:smallCaps w:val="false"/>
          <w:sz w:val="20"/>
        </w:rPr>
        <w:t>. The annual meeting of Stockholders shall be held for the election of members of the Board of Directors (the “</w:t>
      </w:r>
      <w:r>
        <w:rPr>
          <w:rFonts w:ascii="Times New Roman;Times;Serif" w:hAnsi="Times New Roman;Times;Serif"/>
          <w:b/>
          <w:i/>
          <w:caps w:val="false"/>
          <w:smallCaps w:val="false"/>
          <w:sz w:val="20"/>
        </w:rPr>
        <w:t>Directors</w:t>
      </w:r>
      <w:r>
        <w:rPr>
          <w:rFonts w:ascii="Times New Roman;Times;Serif" w:hAnsi="Times New Roman;Times;Serif"/>
          <w:b w:val="false"/>
          <w:i w:val="false"/>
          <w:caps w:val="false"/>
          <w:smallCaps w:val="false"/>
          <w:sz w:val="20"/>
        </w:rPr>
        <w:t>”) at such date and time as may be designated by or in the manner determined by resolution of the Board of Directors from time to time. Any other business as may be properly brought before the annual meeting of Stockholders may be transacted at the annual meeting of Stockholders. The Board of Directors may postpone, reschedule or cancel any annual meeting of Stockholders previously scheduled by the Board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xml:space="preserve">. Special meetings of the Stockholders may be called only by such persons and only in such manner as set forth in the Certificate of Incorporation. Special meetings of Stockholders validly called in accordance with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of these bylaws (as the same may be amended, restated or otherwise modified from time to time, these “</w:t>
      </w:r>
      <w:r>
        <w:rPr>
          <w:rFonts w:ascii="Times New Roman;Times;Serif" w:hAnsi="Times New Roman;Times;Serif"/>
          <w:b/>
          <w:i/>
          <w:caps w:val="false"/>
          <w:smallCaps w:val="false"/>
          <w:sz w:val="20"/>
        </w:rPr>
        <w:t>Bylaws</w:t>
      </w:r>
      <w:r>
        <w:rPr>
          <w:rFonts w:ascii="Times New Roman;Times;Serif" w:hAnsi="Times New Roman;Times;Serif"/>
          <w:b w:val="false"/>
          <w:i w:val="false"/>
          <w:caps w:val="false"/>
          <w:smallCaps w:val="false"/>
          <w:sz w:val="20"/>
        </w:rPr>
        <w:t>”) may be held at such date and time as specified in the applicable notice of such meeting. No business may be transacted at any special meeting of Stockholders other than the business specified in the notice of such meeting. The Board of Directors may postpone, reschedule or cancel any previously scheduled special meeting of the Stockholders.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 Whenever Stockholders are required or permitted to take any action at a meeting of Stockholders,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of the Stockholders, the purpose or purposes for which the meeting is called. Unless otherwise required by applicable law, the Certificate of Incorporation or these Bylaws, the notice of any meeting of Stockholders shall be given not less than 10 nor more than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Adjournments</w:t>
      </w:r>
      <w:r>
        <w:rPr>
          <w:rFonts w:ascii="Times New Roman;Times;Serif" w:hAnsi="Times New Roman;Times;Serif"/>
          <w:b w:val="false"/>
          <w:i w:val="false"/>
          <w:caps w:val="false"/>
          <w:smallCaps w:val="false"/>
          <w:sz w:val="20"/>
        </w:rPr>
        <w:t xml:space="preserve">. Any meeting of Stockholders, annual or special, may be adjourned from time to time by the chairperson of the meeting (or by the Stockholders in accordance with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to reconvene at the same or some other place, if any, and the same or some other time, and notice need not be given to the Stockholders of any such adjourned meeting if the time and place, if any, thereof, and the means of remote communications, if any, by which Stockholders and proxy holders may be deemed to be present in person and vote at such adjourned meeting are announced at the meeting at which the adjournment is taken. At the adjourned meeting of Stockholders, the Corporation may transact any business which might have been transacted at the original meeting of Stockholders. If the adjournment is for more than 30 days, a notice of the adjourned meeting of Stockholders shall be given to each Stockholder of record entitled to vote at the adjourned meeting of Stockholders. If after the adjournment a new record date for determination of Stockholders entitled to vote is fixed for the adjourned meeting of Stockholders, the Board of Directors shall fix a new record date for determining Stockholders entitled to notice of such adjourned meeting of Stockholders in accordance with </w:t>
      </w:r>
      <w:r>
        <w:rPr>
          <w:rFonts w:ascii="Times New Roman;Times;Serif" w:hAnsi="Times New Roman;Times;Serif"/>
          <w:b w:val="false"/>
          <w:i w:val="false"/>
          <w:caps w:val="false"/>
          <w:smallCaps w:val="false"/>
          <w:sz w:val="20"/>
          <w:u w:val="single"/>
        </w:rPr>
        <w:t>Section 2.09(a)</w:t>
      </w:r>
      <w:r>
        <w:rPr>
          <w:rFonts w:ascii="Times New Roman;Times;Serif" w:hAnsi="Times New Roman;Times;Serif"/>
          <w:b w:val="false"/>
          <w:i w:val="false"/>
          <w:caps w:val="false"/>
          <w:smallCaps w:val="false"/>
          <w:sz w:val="20"/>
        </w:rPr>
        <w:t xml:space="preserve"> of these Bylaws, and shall give notice of the adjourned meeting of Stockholders to each Stockholder of record entitled to vote at such adjourned meeting of Stockholders as of the record date fixed for notice of such adjourned meeting of Stockholders. If mailed, such notice shall be deemed to be given when deposited in the United States mail, postage prepaid, directed to the Stockholder at such Stockholder’s address as it appears on the records of the Corporation.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At any meeting of the Stockholders, the holders of a majority of the voting power of the issued and outstanding shares of capital stock of the Corporation (“</w:t>
      </w:r>
      <w:r>
        <w:rPr>
          <w:rFonts w:ascii="Times New Roman;Times;Serif" w:hAnsi="Times New Roman;Times;Serif"/>
          <w:b/>
          <w:i/>
          <w:caps w:val="false"/>
          <w:smallCaps w:val="false"/>
          <w:sz w:val="20"/>
        </w:rPr>
        <w:t>Stock</w:t>
      </w:r>
      <w:r>
        <w:rPr>
          <w:rFonts w:ascii="Times New Roman;Times;Serif" w:hAnsi="Times New Roman;Times;Serif"/>
          <w:b w:val="false"/>
          <w:i w:val="false"/>
          <w:caps w:val="false"/>
          <w:smallCaps w:val="false"/>
          <w:sz w:val="20"/>
        </w:rPr>
        <w:t xml:space="preserve">”) entitled to vote at the meeting, present in person, or by remote communication, if applicable, or represented by proxy, shall constitute a quorum for all purposes, unless or except to the extent that the presence of a larger number may be required by applicable law, the rules of any stock exchange upon which the Corporation’s securities are listed, the Certificate of Incorporation or these Bylaws. In the absence of a quorum, then either (i) the chairperson of the meeting or (ii) the Stockholders by the affirmative vote of a majority of the voting power of the outstanding shares of Stock entitled to vote thereon, present in person, or by remote communication, if applicable, or represented by proxy, shall have the power to recess or adjourn the meeting of Stockholders from time to time in the manner provided in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of these Bylaws until a quorum is present or represented. At any such recessed or adjourned meeting at which a quorum is present or represented, any business may be transacted that might have been transacted at the meeting as originally noticed. Where a separate vote by a class or classes or series of Stock is required by applicable law or the Certificate of Incorporation, the holders of a majority of voting power of the shares of such class or classes or series of Stock issued and outstanding and entitled to vote on such matter, present in person, or by remote communication, if applicable, or represented by proxy, shall constitute a quorum entitled to take action with respect to the vote on such matter. A quorum, once established at a meeting, shall not be broken by the withdrawal of enough votes to leave less than a quorum.</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Meetings of Stockholders shall be presided over by the Chairperson or by such other officer of the Corporation or Director as designated by the Board of Directors or the Chairperson, or in the absence of such person or designation, by a chairperson chosen at the meeting by the affirmative vote of a majority of the voting power of the outstanding shares of Stock present or represented at the meeting and entitled to vote at the meeting (provided there is a quorum). The Secretary of the Corporation (“</w:t>
      </w:r>
      <w:r>
        <w:rPr>
          <w:rFonts w:ascii="Times New Roman;Times;Serif" w:hAnsi="Times New Roman;Times;Serif"/>
          <w:b/>
          <w:i/>
          <w:caps w:val="false"/>
          <w:smallCaps w:val="false"/>
          <w:sz w:val="20"/>
        </w:rPr>
        <w:t>Secretary</w:t>
      </w:r>
      <w:r>
        <w:rPr>
          <w:rFonts w:ascii="Times New Roman;Times;Serif" w:hAnsi="Times New Roman;Times;Serif"/>
          <w:b w:val="false"/>
          <w:i w:val="false"/>
          <w:caps w:val="false"/>
          <w:smallCaps w:val="false"/>
          <w:sz w:val="20"/>
        </w:rPr>
        <w:t>”) shall act as secretary of the meeting, but in his or her absence, the chairperson of the meeting may appoint any person to act as secretary of the meeting.</w:t>
      </w:r>
    </w:p>
    <w:p>
      <w:pPr>
        <w:pStyle w:val="TextBody"/>
        <w:bidi w:val="0"/>
        <w:ind w:left="0" w:right="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Voting; Proxies</w:t>
      </w:r>
      <w:r>
        <w:rPr>
          <w:rFonts w:ascii="Times New Roman;Times;Serif" w:hAnsi="Times New Roman;Times;Serif"/>
          <w:b w:val="false"/>
          <w:i w:val="false"/>
          <w:caps w:val="false"/>
          <w:smallCaps w:val="false"/>
          <w:sz w:val="20"/>
        </w:rPr>
        <w:t>.</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Stockholder entitled to vote at any meeting of Stockholders shall be entitled to the number of votes, if any, for each share of Stock held of record by such Stockholder which has voting power upon the matter in question as set forth in the Certificate of Incorporation or, if such voting power is not set forth in the Certificate of Incorporation, one vote per share. Voting at meetings of Stockholders need not be by written ballot. Unless otherwise provided in the Certificate of Incorporation, at all meetings of Stockholders for the election of Directors at which a quorum is present, a plurality of the votes cast shall be sufficient to elect Directors. No holder of shares of Stock shall have the right to cumulate votes. All other elections and questions presented to the Stockholders at a meeting at which a quorum is present shall be decided by the affirmative vote of the holders of a majority in voting power of votes cast (excluding abstentions and broker non-votes) on such matter,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on the matter.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Stockholder entitled to vote at a meeting of Stockholders or express consent to corporate action in writing without a meeting (if permitted by the Certificate of Incorporation) may authorize another person or persons to act for such Stockholder by proxy authorized by an instrument in writing or by a transmission permitted by law, including Rule 14a-19 promulgated under the Securities Exchange Act of 1934,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Stockholder may revoke any proxy which is not irrevocable by attending the meeting and voting in person (or by means of remote communication, if applicable) or by delivering to the Secretary a revocation of the proxy or a new proxy bearing a later date. A proxy may be in the form of an electronic transmission which sets forth or is submitted with information from which it can be determined that the transmission was authorized by the Stockholder.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directly or indirectly soliciting proxies from other stockholders must use a proxy card color other than white, which shall be reserved for the exclusive use by the Board.</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Fixing Date for Determination of Stockholders of Record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order that the Corporation may determine the Stockholders entitled to notice of or vote at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applicable law,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Times;Serif" w:hAnsi="Times New Roman;Times;Serif"/>
          <w:b w:val="false"/>
          <w:i w:val="false"/>
          <w:caps w:val="false"/>
          <w:smallCaps w:val="false"/>
          <w:sz w:val="20"/>
          <w:u w:val="single"/>
        </w:rPr>
        <w:t>Section 2.09(a)</w:t>
      </w:r>
      <w:r>
        <w:rPr>
          <w:rFonts w:ascii="Times New Roman;Times;Serif" w:hAnsi="Times New Roman;Times;Serif"/>
          <w:b w:val="false"/>
          <w:i w:val="false"/>
          <w:caps w:val="false"/>
          <w:smallCaps w:val="false"/>
          <w:sz w:val="20"/>
        </w:rPr>
        <w:t xml:space="preserve"> at the adjourned meeting.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List of Stockholders Entitled to Vote</w:t>
      </w:r>
      <w:r>
        <w:rPr>
          <w:rFonts w:ascii="Times New Roman;Times;Serif" w:hAnsi="Times New Roman;Times;Serif"/>
          <w:b w:val="false"/>
          <w:i w:val="false"/>
          <w:caps w:val="false"/>
          <w:smallCaps w:val="false"/>
          <w:sz w:val="20"/>
        </w:rPr>
        <w:t>. The Corporation shall prepare, at least 10 days before every meeting of Stockholders, a complete list of the Stockholders entitled to vote at the meeting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if the record date for determining the Stockholders entitled to vote is less than 10 days before the date of the meeting, the list shall reflect the Stockholders entitled to vote as of the 10th day before the meeting date), arranged in alphabetical order, and showing the address of each Stockholder and the number of shares registered in the name of each Stockholder as of the record date (or such other date). The Corporation shall not be required to include electronic mail addresses or other electronic contact information on such list. Such list shall be open to the examination of any Stockholder, for any purpose germane to the meeting at least ten (10) days prior to the meeting date (i) on a reasonably accessible electronic network,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or to vote in person or by proxy at any meeting of Stockholders. For purposes of these Bylaws, the term “stock ledger” means one or more records administered by or on behalf of the Corporation in which the names of all of the Corporation’s Stockholders of record, the address and number of shares registered in the name of each such Stockholder, and all issuances and transfers of Stock are recorded.</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Inspectors of Election</w:t>
      </w:r>
      <w:r>
        <w:rPr>
          <w:rFonts w:ascii="Times New Roman;Times;Serif" w:hAnsi="Times New Roman;Times;Serif"/>
          <w:b w:val="false"/>
          <w:i w:val="false"/>
          <w:caps w:val="false"/>
          <w:smallCaps w:val="false"/>
          <w:sz w:val="20"/>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execute faithfully the duties of inspector with strict impartiality and according to the best of his or her ability. Any report or certificate made by the inspectors of election is prima facie evidence of the facts stated therein. The inspector or inspectors of election may appoint such persons to assist them in performing their duties as they determine. The inspector or inspectors so appointed or designated shall (i) ascertain the number of shares of Stock outstanding and the voting power of each such share, (ii) determine the number of shares of Stock represented at the applicable meeting of the Stockholders and the validity of proxies and ballots, (iii) count and tabulate all votes and ballots, (iv) determine and retain for a reasonable period a record of the disposition of any challenges made to any determination by the inspectors, and (v) certify their determination of the number of shares of Stock represented at the meeting and such inspectors’ count of all votes and ballots. Such certification and report shall specify such other information as may be required by applicable law. In determining the validity and counting of proxies and ballots cast at any meeting of Stockholders, the inspectors may consider such information as is permitted by applicable law. No person who is a candidate for an office at an election may serve as an inspector at such election.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Conduct of Meetings</w:t>
      </w:r>
      <w:r>
        <w:rPr>
          <w:rFonts w:ascii="Times New Roman;Times;Serif" w:hAnsi="Times New Roman;Times;Serif"/>
          <w:b w:val="false"/>
          <w:i w:val="false"/>
          <w:caps w:val="false"/>
          <w:smallCaps w:val="false"/>
          <w:sz w:val="20"/>
        </w:rPr>
        <w:t xml:space="preserve">. The date and time of the opening and the closing of the polls for each matter upon which the Stockholders will vote at a meeting of the Stockholders shall be announced at the meeting by the person presiding over the meeting designated in accordance with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After the polls close, no ballots, proxies or votes or any revocations or changes thereto may be accepted.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that a matter or business was not properly brought before the meeting and if such presiding person should so determine, such presiding person shall so declare to such meeting and any such matter or business not properly brought before the meeting shall not be transacted or considered. Unless and to the extent determined by the Board of Directors or the person presiding over the applicable meeting of Stockholders, meetings of Stockholders shall not be required to be held in accordance with the rules of parliamentary procedure.</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0" w:right="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Advance Notice Procedures for Business Brought before a Meeting</w:t>
      </w:r>
      <w:r>
        <w:rPr>
          <w:rFonts w:ascii="Times New Roman;Times;Serif" w:hAnsi="Times New Roman;Times;Serif"/>
          <w:b w:val="false"/>
          <w:i w:val="false"/>
          <w:caps w:val="false"/>
          <w:smallCaps w:val="false"/>
          <w:sz w:val="20"/>
        </w:rPr>
        <w:t>.</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an annual meeting of the stockholders, only such business shall be conducted as shall have been properly brought before the meeting. To be properly brought before an annual meeting, business must be (i) specified in a notice of meeting given by or at the direction of the Board of Directors, (ii) if not specified in a notice of meeting, otherwise brought before the meeting by or at the direction of the Board of Directors or the Chairman of the Board or (iii) otherwise properly brought before the meeting by a stockholder present in person who (A) (1) was a record owner of shares of the Corporation both at the time of giving the notice provided for in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and at the time of the meeting, (2) is entitled to vote at the meeting, and (3) has complied with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xml:space="preserve">”).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and stockholders shall not be permitted to propose business to be brought before a special meeting of the stockholders. For purposes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“present in person” shall mean that the stockholder proposing that the business be brought before the annual meeting of the Corporation, or a qualified representative of such proposing stockholder, appear at such annual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of Directors must comply with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shall not be applicable to nominations except as expressly provided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date of the annual meeting is more than thirty (30) days before or more than sixty (60) days after such anniversary date, or if no annual meeting was held in the preceding year, notice by the stockholder to be timely must be so delivered, or mailed and received, not more than the hundred twentieth (120th) day prior to such annual meeting and not later than (i) the ninetieth (90th) day prior to such annual meeting or, (ii) if later, the tenth (10th) day following the day on which public disclosure of the date of such annual meeting was first made by the Corporation (such notice within such time periods, “</w:t>
      </w:r>
      <w:r>
        <w:rPr>
          <w:rFonts w:ascii="Times New Roman;Times;Serif" w:hAnsi="Times New Roman;Times;Serif"/>
          <w:b/>
          <w:i/>
          <w:caps w:val="false"/>
          <w:smallCaps w:val="false"/>
          <w:sz w:val="20"/>
        </w:rPr>
        <w:t>Timely Notice</w:t>
      </w:r>
      <w:r>
        <w:rPr>
          <w:rFonts w:ascii="Times New Roman;Times;Serif" w:hAnsi="Times New Roman;Times;Serif"/>
          <w:b w:val="false"/>
          <w:i w:val="false"/>
          <w:caps w:val="false"/>
          <w:smallCaps w:val="false"/>
          <w:sz w:val="20"/>
        </w:rPr>
        <w:t>”). In no event shall any adjournment or postponement of an annual meeting or the announcement thereof commence a new time period for the giving of Timely Notice as described above.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be in proper form for purposes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a stockholder’s notice to the Secretary shall set forth:</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Times New Roman;Times;Serif" w:hAnsi="Times New Roman;Times;Serif"/>
          <w:b/>
          <w:i/>
          <w:caps w:val="false"/>
          <w:smallCaps w:val="false"/>
          <w:sz w:val="20"/>
        </w:rPr>
        <w:t>Stockholder Information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to each Proposing Person,</w:t>
      </w:r>
    </w:p>
    <w:p>
      <w:pPr>
        <w:pStyle w:val="TextBody"/>
        <w:bidi w:val="0"/>
        <w:spacing w:before="0" w:after="283"/>
        <w:jc w:val="left"/>
        <w:rPr/>
      </w:pPr>
      <w:r>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the Corporation (“</w:t>
      </w:r>
      <w:r>
        <w:rPr>
          <w:rFonts w:ascii="Times New Roman;Times;Serif" w:hAnsi="Times New Roman;Times;Serif"/>
          <w:b/>
          <w:i/>
          <w:caps w:val="false"/>
          <w:smallCaps w:val="false"/>
          <w:sz w:val="20"/>
        </w:rPr>
        <w:t>Synthetic Equity Position</w:t>
      </w:r>
      <w:r>
        <w:rPr>
          <w:rFonts w:ascii="Times New Roman;Times;Serif" w:hAnsi="Times New Roman;Times;Serif"/>
          <w:b w:val="false"/>
          <w:i w:val="false"/>
          <w:caps w:val="false"/>
          <w:smallCaps w:val="false"/>
          <w:sz w:val="20"/>
        </w:rPr>
        <w:t>”) that is, directly or indirectly, held or maintained by, held for the benefit of, or involving such Proposing Person, including, without limitation,</w:t>
      </w:r>
    </w:p>
    <w:p>
      <w:pPr>
        <w:pStyle w:val="TextBody"/>
        <w:bidi w:val="0"/>
        <w:ind w:left="144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derivative or synthetic arrangement having the characteristics of a long position or a short position in any class or series of shares of the Corporation, including, without limitation, a stock loan transaction, a stock borrow transaction, or a share repurchase transaction or</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contract, derivative, swap or other transaction or series of transactions designed to</w:t>
      </w:r>
    </w:p>
    <w:p>
      <w:pPr>
        <w:pStyle w:val="TextBody"/>
        <w:bidi w:val="0"/>
        <w:ind w:left="216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ind w:left="0" w:right="0" w:firstLine="720"/>
        <w:jc w:val="both"/>
        <w:rPr>
          <w:caps w:val="false"/>
          <w:smallCaps w:val="false"/>
        </w:rPr>
      </w:pPr>
      <w:r>
        <w:rPr>
          <w:caps w:val="false"/>
          <w:smallCaps w:val="false"/>
        </w:rPr>
        <w:t> </w:t>
      </w:r>
    </w:p>
    <w:p>
      <w:pPr>
        <w:pStyle w:val="TextBody"/>
        <w:bidi w:val="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produce economic benefits and risks that correspond substantially to the ownership of any class or series of shares of the Corporation,</w:t>
      </w:r>
    </w:p>
    <w:p>
      <w:pPr>
        <w:pStyle w:val="TextBody"/>
        <w:bidi w:val="0"/>
        <w:ind w:left="2880" w:right="0" w:firstLine="720"/>
        <w:jc w:val="both"/>
        <w:rPr>
          <w:caps w:val="false"/>
          <w:smallCaps w:val="false"/>
        </w:rPr>
      </w:pPr>
      <w:r>
        <w:rPr>
          <w:caps w:val="false"/>
          <w:smallCaps w:val="false"/>
        </w:rPr>
        <w:t> </w:t>
      </w:r>
    </w:p>
    <w:p>
      <w:pPr>
        <w:pStyle w:val="TextBody"/>
        <w:bidi w:val="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mitigate any loss relating to, reduce the economic risk (of ownership or otherwise) of, or manage the risk of share price decrease in, any class or series of shares of the Corporation, or</w:t>
      </w:r>
    </w:p>
    <w:p>
      <w:pPr>
        <w:pStyle w:val="TextBody"/>
        <w:bidi w:val="0"/>
        <w:ind w:left="2880" w:right="0" w:firstLine="720"/>
        <w:jc w:val="both"/>
        <w:rPr>
          <w:caps w:val="false"/>
          <w:smallCaps w:val="false"/>
        </w:rPr>
      </w:pPr>
      <w:r>
        <w:rPr>
          <w:caps w:val="false"/>
          <w:smallCaps w:val="false"/>
        </w:rPr>
        <w:t> </w:t>
      </w:r>
    </w:p>
    <w:p>
      <w:pPr>
        <w:pStyle w:val="TextBody"/>
        <w:bidi w:val="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increase or decrease the voting power in respect of any class or series of shares of the Corporation held or maintained by, held for the benefit of, or involving such Proposing Person,</w:t>
      </w:r>
    </w:p>
    <w:p>
      <w:pPr>
        <w:pStyle w:val="TextBody"/>
        <w:bidi w:val="0"/>
        <w:ind w:left="0" w:right="0" w:hanging="0"/>
        <w:jc w:val="both"/>
        <w:rPr>
          <w:caps w:val="false"/>
          <w:smallCaps w:val="false"/>
        </w:rPr>
      </w:pPr>
      <w:r>
        <w:rPr>
          <w:caps w:val="false"/>
          <w:smallCaps w:val="false"/>
        </w:rPr>
        <w:t> </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shares of the Corporation;</w:t>
      </w:r>
    </w:p>
    <w:p>
      <w:pPr>
        <w:pStyle w:val="TextBody"/>
        <w:bidi w:val="0"/>
        <w:ind w:left="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w:t>
      </w:r>
      <w:r>
        <w:rPr>
          <w:rFonts w:ascii="Times New Roman;Times;Serif" w:hAnsi="Times New Roman;Times;Serif"/>
          <w:b w:val="false"/>
          <w:i/>
          <w:caps w:val="false"/>
          <w:smallCaps w:val="false"/>
          <w:sz w:val="20"/>
        </w:rPr>
        <w:t xml:space="preserve">and, provided, further, that </w:t>
      </w:r>
      <w:r>
        <w:rPr>
          <w:rFonts w:ascii="Times New Roman;Times;Serif" w:hAnsi="Times New Roman;Times;Serif"/>
          <w:b w:val="false"/>
          <w:i w:val="false"/>
          <w:caps w:val="false"/>
          <w:smallCaps w:val="false"/>
          <w:sz w:val="20"/>
        </w:rPr>
        <w:t>any Proposing Person satisfying the requirements of Rule 13d-1(b)(1) under the Exchange Act (other than a Proposing Person that so satisfies Rule 13d-1(b)(1) under the Exchange Act solely by reason of Rule 13d-1(b)(1)(ii)(E)) shall not be required to disclose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w:t>
      </w:r>
    </w:p>
    <w:p>
      <w:pPr>
        <w:pStyle w:val="TextBody"/>
        <w:bidi w:val="0"/>
        <w:ind w:left="1440" w:right="0" w:hanging="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rights to dividends on the shares of any class or series of shares of the Corporation owned beneficially by such Proposing Person that are separated or separable from the underlying shares of the Corporation,</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material pending or threatened legal proceeding in which such Proposing Person is a party or material participant involving the Corporation or any of its officers or directors, or any affiliate of the Corporation,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other material relationship between such Proposing Person, on the one hand, and the Corporation or any affiliate of the Corporation, on the other hand,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direct or indirect material interest in any material contract or agreement of such Proposing Person with the Corporation or any affiliate of the Corporation (including, in any such case, any employment agreement, collective bargaining agreement or consulting agreement),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w:t>
      </w:r>
    </w:p>
    <w:p>
      <w:pPr>
        <w:pStyle w:val="TextBody"/>
        <w:bidi w:val="0"/>
        <w:ind w:left="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disclosures to be made pursuant to the foregoing clauses (A) through (I) are referred to as “</w:t>
      </w:r>
      <w:r>
        <w:rPr>
          <w:rFonts w:ascii="Times New Roman;Times;Serif" w:hAnsi="Times New Roman;Times;Serif"/>
          <w:b/>
          <w:i/>
          <w:caps w:val="false"/>
          <w:smallCaps w:val="false"/>
          <w:sz w:val="20"/>
        </w:rPr>
        <w:t>Disclosable Interests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the Corporation or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 acknowledgement that if the Proposing Person giving the notice (or such Proposing Person’s qualified representative) does not appear at such meeting (including virtually in the case of a meeting held solely by means of remote communication) to present the proposed business the Corporation need not present such proposed business for a vote at such meeting, notwithstanding that proxies in respect of such vote may have been received by the Corporation;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representation as to whether or not the Proposing Person intends (or is part of a group that intends) to (1) deliver a proxy statement and form of proxy to holders of at least the percentage of the Corporation’s voting shares required under the DGCL, the Certificate of Incorporation and these bylaws to carry the proposal (an affirmative statement of such intent being a “</w:t>
      </w:r>
      <w:r>
        <w:rPr>
          <w:rFonts w:ascii="Times New Roman;Times;Serif" w:hAnsi="Times New Roman;Times;Serif"/>
          <w:b w:val="false"/>
          <w:i w:val="false"/>
          <w:caps w:val="false"/>
          <w:smallCaps w:val="false"/>
          <w:sz w:val="20"/>
          <w:u w:val="single"/>
        </w:rPr>
        <w:t>Solicitation Notice</w:t>
      </w:r>
      <w:r>
        <w:rPr>
          <w:rFonts w:ascii="Times New Roman;Times;Serif" w:hAnsi="Times New Roman;Times;Serif"/>
          <w:b w:val="false"/>
          <w:i w:val="false"/>
          <w:caps w:val="false"/>
          <w:smallCaps w:val="false"/>
          <w:sz w:val="20"/>
        </w:rPr>
        <w:t>”) or (2) otherwise engage in a solicitation (within the meaning of Rule 14a-1(l) under the Exchange Act) with respect to the proposal, and if so, the name of each participant (as defined in Item 4 of Schedule 14A under the Exchange Act) in such solicitation; and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such written consent of the Proposing Person to the public disclosure of information provided to the Corporation pursuant to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purposes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the term “</w:t>
      </w:r>
      <w:r>
        <w:rPr>
          <w:rFonts w:ascii="Times New Roman;Times;Serif" w:hAnsi="Times New Roman;Times;Serif"/>
          <w:b/>
          <w:i/>
          <w:caps w:val="false"/>
          <w:smallCaps w:val="false"/>
          <w:sz w:val="20"/>
        </w:rPr>
        <w:t>Proposing Person</w:t>
      </w:r>
      <w:r>
        <w:rPr>
          <w:rFonts w:ascii="Times New Roman;Times;Serif" w:hAnsi="Times New Roman;Times;Serif"/>
          <w:b w:val="false"/>
          <w:i w:val="false"/>
          <w:caps w:val="false"/>
          <w:smallCaps w:val="false"/>
          <w:sz w:val="20"/>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Board of Directors may request that any Proposing Person furnish such additional information as may be reasonably required by the Board of Directors. Such Proposing Person shall provide such additional information within ten (10) days after it has been requested by the Board of Directors.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Proposing Person shall update and supplement its notice to the Corporation of its intent to propose business at an annual meeting, if necessary, so that the information provided or required to be provided in such notice pursuant to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 If the Proposing Person has provided the Corporation with a Solicitation Notice, such Proposing Person must have delivered a proxy statement and form of proxy to holders of at least the percentage of the Corporation’s voting shares required under the DGCL, the Certificate of Incorporation and these bylaws to carry any such proposal and must have included in such materials the Solicitation Notice. If no Solicitation Notice relating thereto has been timely provided pursuant to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the Proposing Person must not have solicited a number of proxies sufficient to have required the delivery of such a Solicitation Notice under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Notwithstanding the foregoing provisions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unless otherwise required by law, if the stockholder giving the notice required by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(or such stockholder’s qualified representative) does not appear at the annual or special meeting of stockholders of the Corporation to present the proposed item of business, such proposed business shall not be transacted, notwithstanding that proxies in respect of such vote may have been received by the Corporation.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in these Bylaws to the contrary, no business shall be conducted at an annual meeting that is not properly brought before the meeting in accordance with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The presiding officer of the meeting (or, in advance of any meeting of stockholders, the Board of Directors or an authorized committee thereof) shall, if the facts warrant, determine that the business was not properly brought before the meeting in accordance with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and if he or she should so determine, he or she shall so declare to the meeting and any such business not properly brought before the meeting shall not be transacted.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with respect to any business proposed to be brought before an annual meeting, each Proposing Person shall comply with all applicable requirements of the Exchange Act with respect to any such business. Nothing in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shall be deemed to affect the rights of stockholders to request inclusion of proposals in the Corporation’s proxy statement pursuant to Rule 14a-8 under the Exchange Act.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purposes of these Bylaws, “</w:t>
      </w:r>
      <w:r>
        <w:rPr>
          <w:rFonts w:ascii="Times New Roman;Times;Serif" w:hAnsi="Times New Roman;Times;Serif"/>
          <w:b/>
          <w:i/>
          <w:caps w:val="false"/>
          <w:smallCaps w:val="false"/>
          <w:sz w:val="20"/>
        </w:rPr>
        <w:t>public disclosure</w:t>
      </w:r>
      <w:r>
        <w:rPr>
          <w:rFonts w:ascii="Times New Roman;Times;Serif" w:hAnsi="Times New Roman;Times;Serif"/>
          <w:b w:val="false"/>
          <w:i w:val="false"/>
          <w:caps w:val="false"/>
          <w:smallCaps w:val="false"/>
          <w:sz w:val="20"/>
        </w:rPr>
        <w:t>” shall mean disclosure in a press release reported by a national news service or in a document publicly filed by the Corporation with the Securities and Exchange Commission pursuant to Sections 13, 14 or 15(d) of the Exchange Act.</w:t>
      </w:r>
    </w:p>
    <w:p>
      <w:pPr>
        <w:pStyle w:val="TextBody"/>
        <w:bidi w:val="0"/>
        <w:ind w:left="0" w:right="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Advance Notice Procedures for Nominations of Directors</w:t>
      </w:r>
      <w:r>
        <w:rPr>
          <w:rFonts w:ascii="Times New Roman;Times;Serif" w:hAnsi="Times New Roman;Times;Serif"/>
          <w:b w:val="false"/>
          <w:i w:val="false"/>
          <w:caps w:val="false"/>
          <w:smallCaps w:val="false"/>
          <w:sz w:val="20"/>
        </w:rPr>
        <w:t>.</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who (A) was a record owner of shares of the Corporation both at the time of giving the notice provided for in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at the time of the meeting, (B) is entitled to vote at the meeting, and (C) has complied with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as to such notice and nomination. For purposes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present in person</w:t>
      </w:r>
      <w:r>
        <w:rPr>
          <w:rFonts w:ascii="Times New Roman;Times;Serif" w:hAnsi="Times New Roman;Times;Serif"/>
          <w:b w:val="false"/>
          <w:i w:val="false"/>
          <w:caps w:val="false"/>
          <w:smallCaps w:val="false"/>
          <w:sz w:val="20"/>
        </w:rPr>
        <w:t>” shall mean that the stockholder nominating any person for election to the Board of Directors at the meeting of the Corporation, or a qualified representative of such stockholder, appear at such meeting, either in person or by means of remote communication. A “</w:t>
      </w:r>
      <w:r>
        <w:rPr>
          <w:rFonts w:ascii="Times New Roman;Times;Serif" w:hAnsi="Times New Roman;Times;Serif"/>
          <w:b/>
          <w:i/>
          <w:caps w:val="false"/>
          <w:smallCaps w:val="false"/>
          <w:sz w:val="20"/>
        </w:rPr>
        <w:t>qualified representative</w:t>
      </w:r>
      <w:r>
        <w:rPr>
          <w:rFonts w:ascii="Times New Roman;Times;Serif" w:hAnsi="Times New Roman;Times;Serif"/>
          <w:b w:val="false"/>
          <w:i w:val="false"/>
          <w:caps w:val="false"/>
          <w:smallCaps w:val="false"/>
          <w:sz w:val="20"/>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of Directors at an annual meeting or special meeting.</w:t>
      </w:r>
    </w:p>
    <w:p>
      <w:pPr>
        <w:pStyle w:val="TextBody"/>
        <w:bidi w:val="0"/>
        <w:ind w:left="0" w:right="0" w:firstLine="720"/>
        <w:jc w:val="both"/>
        <w:rPr>
          <w:caps w:val="false"/>
          <w:smallCaps w:val="false"/>
        </w:rPr>
      </w:pPr>
      <w:r>
        <w:rPr>
          <w:caps w:val="false"/>
          <w:smallCaps w:val="false"/>
        </w:rPr>
        <w:t> </w:t>
      </w:r>
    </w:p>
    <w:p>
      <w:pPr>
        <w:pStyle w:val="TextBody"/>
        <w:bidi w:val="0"/>
        <w:ind w:left="720" w:right="0" w:hanging="0"/>
        <w:jc w:val="left"/>
        <w:rPr/>
      </w:pPr>
      <w:r>
        <w:rPr/>
        <w:t>(b)</w:t>
      </w:r>
    </w:p>
    <w:p>
      <w:pPr>
        <w:pStyle w:val="TextBody"/>
        <w:bidi w:val="0"/>
        <w:spacing w:before="0" w:after="283"/>
        <w:jc w:val="left"/>
        <w:rPr/>
      </w:pPr>
      <w:r>
        <w:rPr/>
        <w:t> </w:t>
      </w:r>
    </w:p>
    <w:p>
      <w:pPr>
        <w:pStyle w:val="TextBody"/>
        <w:bidi w:val="0"/>
        <w:ind w:left="720" w:right="0" w:firstLine="720"/>
        <w:jc w:val="both"/>
        <w:rPr/>
      </w:pPr>
      <w:r>
        <w:rPr/>
        <w:t xml:space="preserve">(i) Without qualification, for a stockholder to make any nomination of a person or persons for election to the Board of Directors at an annual meeting, the stockholder must (1) provide Timely Notice (as defined in </w:t>
      </w:r>
      <w:r>
        <w:rPr>
          <w:u w:val="single"/>
        </w:rPr>
        <w:t>Section 2.13</w:t>
      </w:r>
      <w:r>
        <w:rPr/>
        <w:t xml:space="preserve">) thereof in writing and in proper form to the Secretary of the Corporation, (2) provide the information, agreements and questionnaires with respect to such stockholder and its candidate for nomination as required to be set forth by this </w:t>
      </w:r>
      <w:r>
        <w:rPr>
          <w:u w:val="single"/>
        </w:rPr>
        <w:t>Section 2.14</w:t>
      </w:r>
      <w:r>
        <w:rPr/>
        <w:t xml:space="preserve"> and (3) provide any updates or supplements to such notice at the times and in the forms required by this </w:t>
      </w:r>
      <w:r>
        <w:rPr>
          <w:u w:val="single"/>
        </w:rPr>
        <w:t>Section 2.14</w:t>
      </w:r>
      <w:r>
        <w:rPr/>
        <w:t>.</w:t>
      </w:r>
    </w:p>
    <w:p>
      <w:pPr>
        <w:pStyle w:val="TextBody"/>
        <w:bidi w:val="0"/>
        <w:jc w:val="both"/>
        <w:rPr/>
      </w:pPr>
      <w:r>
        <w:rPr/>
        <w:t> </w:t>
      </w:r>
    </w:p>
    <w:p>
      <w:pPr>
        <w:pStyle w:val="TextBody"/>
        <w:bidi w:val="0"/>
        <w:ind w:left="720" w:right="0" w:firstLine="720"/>
        <w:jc w:val="both"/>
        <w:rPr/>
      </w:pPr>
      <w:r>
        <w:rPr/>
        <w:t xml:space="preserve">(ii) 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(i) provide timely notice thereof in writing and in proper form to the Secretary of the Corporation at the principal executive offices of the Corporation, (ii) provide the information with respect to such stockholder and its candidate for nomination as required by this </w:t>
      </w:r>
      <w:r>
        <w:rPr>
          <w:u w:val="single"/>
        </w:rPr>
        <w:t>Section 2.14</w:t>
      </w:r>
      <w:r>
        <w:rPr/>
        <w:t xml:space="preserve"> and (iii) provide any updates or supplements to such notice at the times and in the forms required by this </w:t>
      </w:r>
      <w:r>
        <w:rPr>
          <w:u w:val="single"/>
        </w:rPr>
        <w:t>Section 2.14</w:t>
      </w:r>
      <w:r>
        <w:rPr/>
        <w:t xml:space="preserve">.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w:t>
      </w:r>
      <w:r>
        <w:rPr>
          <w:u w:val="single"/>
        </w:rPr>
        <w:t>Section 2.13</w:t>
      </w:r>
      <w:r>
        <w:rPr/>
        <w:t>) of the date of such special meeting was first made.</w:t>
      </w:r>
    </w:p>
    <w:p>
      <w:pPr>
        <w:pStyle w:val="TextBody"/>
        <w:bidi w:val="0"/>
        <w:ind w:left="720" w:right="0" w:firstLine="720"/>
        <w:jc w:val="both"/>
        <w:rPr/>
      </w:pPr>
      <w:r>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ind w:left="720" w:right="0" w:firstLine="720"/>
        <w:jc w:val="both"/>
        <w:rPr/>
      </w:pPr>
      <w:r>
        <w:rPr/>
        <w:t> </w:t>
      </w:r>
    </w:p>
    <w:p>
      <w:pPr>
        <w:pStyle w:val="TextBody"/>
        <w:bidi w:val="0"/>
        <w:ind w:left="720" w:right="0" w:firstLine="720"/>
        <w:jc w:val="both"/>
        <w:rPr/>
      </w:pPr>
      <w:r>
        <w:rPr/>
        <w:t>(iii) In no event shall any adjournment or postponement of an annual meeting or special meeting or the announcement thereof commence a new time period for the giving of a stockholder’s notice as described above.</w:t>
      </w:r>
    </w:p>
    <w:p>
      <w:pPr>
        <w:pStyle w:val="TextBody"/>
        <w:bidi w:val="0"/>
        <w:ind w:left="720" w:right="0" w:firstLine="720"/>
        <w:jc w:val="both"/>
        <w:rPr/>
      </w:pPr>
      <w:r>
        <w:rPr/>
        <w:t> </w:t>
      </w:r>
    </w:p>
    <w:p>
      <w:pPr>
        <w:pStyle w:val="TextBody"/>
        <w:bidi w:val="0"/>
        <w:ind w:left="720" w:right="0" w:firstLine="720"/>
        <w:jc w:val="both"/>
        <w:rPr/>
      </w:pPr>
      <w:r>
        <w:rPr/>
        <w:t xml:space="preserve">(iv) In no event may a Nominating Person provide Timely Notice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the conclusion of the time period for Timely Notice, (ii) the date set forth in </w:t>
      </w:r>
      <w:r>
        <w:rPr>
          <w:u w:val="single"/>
        </w:rPr>
        <w:t>Section 2.14(b)(ii)</w:t>
      </w:r>
      <w:r>
        <w:rPr/>
        <w:t xml:space="preserve"> or (iii) the tenth day following the date of public disclosure (as defined in </w:t>
      </w:r>
      <w:r>
        <w:rPr>
          <w:u w:val="single"/>
        </w:rPr>
        <w:t>Section 2.13</w:t>
      </w:r>
      <w:r>
        <w:rPr/>
        <w:t>) of such increase.</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be in proper form for purposes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a stockholder’s notice to the Secretary shall set forth:</w:t>
      </w:r>
    </w:p>
    <w:p>
      <w:pPr>
        <w:pStyle w:val="TextBody"/>
        <w:bidi w:val="0"/>
        <w:ind w:left="0" w:right="0" w:firstLine="720"/>
        <w:jc w:val="left"/>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As to each Nominating Person (as defined below), the Stockholder Information (as defined in </w:t>
      </w:r>
      <w:r>
        <w:rPr>
          <w:rFonts w:ascii="Times New Roman;Times;Serif" w:hAnsi="Times New Roman;Times;Serif"/>
          <w:b w:val="false"/>
          <w:i w:val="false"/>
          <w:caps w:val="false"/>
          <w:smallCaps w:val="false"/>
          <w:sz w:val="20"/>
          <w:u w:val="single"/>
        </w:rPr>
        <w:t>Section 2.13(c)(i)</w:t>
      </w:r>
      <w:r>
        <w:rPr>
          <w:rFonts w:ascii="Times New Roman;Times;Serif" w:hAnsi="Times New Roman;Times;Serif"/>
          <w:b w:val="false"/>
          <w:i w:val="false"/>
          <w:caps w:val="false"/>
          <w:smallCaps w:val="false"/>
          <w:sz w:val="20"/>
        </w:rPr>
        <w:t xml:space="preserve">, except that for purposes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the term “Nominating Person” shall be substituted for the term “Proposing Person” in all places it appears in </w:t>
      </w:r>
      <w:r>
        <w:rPr>
          <w:rFonts w:ascii="Times New Roman;Times;Serif" w:hAnsi="Times New Roman;Times;Serif"/>
          <w:b w:val="false"/>
          <w:i w:val="false"/>
          <w:caps w:val="false"/>
          <w:smallCaps w:val="false"/>
          <w:sz w:val="20"/>
          <w:u w:val="single"/>
        </w:rPr>
        <w:t>Section 2.13(c)(i)</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 to each Nominating Person, any Disclosable Interests (as defined in </w:t>
      </w:r>
      <w:r>
        <w:rPr>
          <w:rFonts w:ascii="Times New Roman;Times;Serif" w:hAnsi="Times New Roman;Times;Serif"/>
          <w:b w:val="false"/>
          <w:i w:val="false"/>
          <w:caps w:val="false"/>
          <w:smallCaps w:val="false"/>
          <w:sz w:val="20"/>
          <w:u w:val="single"/>
        </w:rPr>
        <w:t>Section 2.13(c)(ii)</w:t>
      </w:r>
      <w:r>
        <w:rPr>
          <w:rFonts w:ascii="Times New Roman;Times;Serif" w:hAnsi="Times New Roman;Times;Serif"/>
          <w:b w:val="false"/>
          <w:i w:val="false"/>
          <w:caps w:val="false"/>
          <w:smallCaps w:val="false"/>
          <w:sz w:val="20"/>
        </w:rPr>
        <w:t xml:space="preserve">, except that for purposes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the term “Nominating Person” shall be substituted for the term “Proposing Person” in all places it appears in </w:t>
      </w:r>
      <w:r>
        <w:rPr>
          <w:rFonts w:ascii="Times New Roman;Times;Serif" w:hAnsi="Times New Roman;Times;Serif"/>
          <w:b w:val="false"/>
          <w:i w:val="false"/>
          <w:caps w:val="false"/>
          <w:smallCaps w:val="false"/>
          <w:sz w:val="20"/>
          <w:u w:val="single"/>
        </w:rPr>
        <w:t>Section 2.13(c)(ii)</w:t>
      </w:r>
      <w:r>
        <w:rPr>
          <w:rFonts w:ascii="Times New Roman;Times;Serif" w:hAnsi="Times New Roman;Times;Serif"/>
          <w:b w:val="false"/>
          <w:i w:val="false"/>
          <w:caps w:val="false"/>
          <w:smallCaps w:val="false"/>
          <w:sz w:val="20"/>
        </w:rPr>
        <w:t xml:space="preserve"> and the disclosure with respect to the business to be brought before the meeting in </w:t>
      </w:r>
      <w:r>
        <w:rPr>
          <w:rFonts w:ascii="Times New Roman;Times;Serif" w:hAnsi="Times New Roman;Times;Serif"/>
          <w:b w:val="false"/>
          <w:i w:val="false"/>
          <w:caps w:val="false"/>
          <w:smallCaps w:val="false"/>
          <w:sz w:val="20"/>
          <w:u w:val="single"/>
        </w:rPr>
        <w:t>Section 2.13(c)(ii)</w:t>
      </w:r>
      <w:r>
        <w:rPr>
          <w:rFonts w:ascii="Times New Roman;Times;Serif" w:hAnsi="Times New Roman;Times;Serif"/>
          <w:b w:val="false"/>
          <w:i w:val="false"/>
          <w:caps w:val="false"/>
          <w:smallCaps w:val="false"/>
          <w:sz w:val="20"/>
        </w:rPr>
        <w:t xml:space="preserve"> shall be made with respect to the election of directors at the meeting); and provided that, in lieu of including the information set forth in </w:t>
      </w:r>
      <w:r>
        <w:rPr>
          <w:rFonts w:ascii="Times New Roman;Times;Serif" w:hAnsi="Times New Roman;Times;Serif"/>
          <w:b w:val="false"/>
          <w:i w:val="false"/>
          <w:caps w:val="false"/>
          <w:smallCaps w:val="false"/>
          <w:sz w:val="20"/>
          <w:u w:val="single"/>
        </w:rPr>
        <w:t>Section 2.13(c)(ii)(F)</w:t>
      </w:r>
      <w:r>
        <w:rPr>
          <w:rFonts w:ascii="Times New Roman;Times;Serif" w:hAnsi="Times New Roman;Times;Serif"/>
          <w:b w:val="false"/>
          <w:i w:val="false"/>
          <w:caps w:val="false"/>
          <w:smallCaps w:val="false"/>
          <w:sz w:val="20"/>
        </w:rPr>
        <w:t xml:space="preserve">, the Nominating Person’s notice for purposes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shall include a representation as to whether the Nominating Person intends or is part of a group which intends to deliver a proxy statement and solicit the holders of shares representing at least sixty seven percent (67%) of the voting power of shares entitled to vote on the election of directors in support of director nominees other than the Corporation’s nominees in accordance with Rule 14a-19 promulgated under the Exchange Act; and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to each candidate whom a Nominating Person proposes to nominate for election as a director,</w:t>
      </w:r>
    </w:p>
    <w:p>
      <w:pPr>
        <w:pStyle w:val="TextBody"/>
        <w:bidi w:val="0"/>
        <w:ind w:left="72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for a full term if elected), and</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completed written questionnaire (in the form provided by the Corporation within ten (10) days upon written request of any stockholder of record therefor) with respect to the background, qualifications, stock ownership and independence of such proposed nominee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written representation and agreement (in the form provided by the Corporation within ten (10) days upon written request of any stockholder of record therefor) that such candidate for nomination</w:t>
      </w:r>
    </w:p>
    <w:p>
      <w:pPr>
        <w:pStyle w:val="TextBody"/>
        <w:bidi w:val="0"/>
        <w:ind w:left="144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not and, if elected as a director during his or her term of office, will not become a party to</w:t>
      </w:r>
    </w:p>
    <w:p>
      <w:pPr>
        <w:pStyle w:val="TextBody"/>
        <w:bidi w:val="0"/>
        <w:ind w:left="2160" w:right="0" w:firstLine="720"/>
        <w:jc w:val="both"/>
        <w:rPr>
          <w:caps w:val="false"/>
          <w:smallCaps w:val="false"/>
        </w:rPr>
      </w:pPr>
      <w:r>
        <w:rPr>
          <w:caps w:val="false"/>
          <w:smallCaps w:val="false"/>
        </w:rPr>
        <w:t> </w:t>
      </w:r>
    </w:p>
    <w:p>
      <w:pPr>
        <w:pStyle w:val="TextBody"/>
        <w:bidi w:val="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Times;Serif" w:hAnsi="Times New Roman;Times;Serif"/>
          <w:b/>
          <w:i/>
          <w:caps w:val="false"/>
          <w:smallCaps w:val="false"/>
          <w:sz w:val="20"/>
        </w:rPr>
        <w:t>Voting Commitment</w:t>
      </w:r>
      <w:r>
        <w:rPr>
          <w:rFonts w:ascii="Times New Roman;Times;Serif" w:hAnsi="Times New Roman;Times;Serif"/>
          <w:b w:val="false"/>
          <w:i w:val="false"/>
          <w:caps w:val="false"/>
          <w:smallCaps w:val="false"/>
          <w:sz w:val="20"/>
        </w:rPr>
        <w:t>”) or</w:t>
      </w:r>
    </w:p>
    <w:p>
      <w:pPr>
        <w:pStyle w:val="TextBody"/>
        <w:bidi w:val="0"/>
        <w:ind w:left="2880" w:right="0" w:firstLine="720"/>
        <w:jc w:val="both"/>
        <w:rPr>
          <w:caps w:val="false"/>
          <w:smallCaps w:val="false"/>
        </w:rPr>
      </w:pPr>
      <w:r>
        <w:rPr>
          <w:caps w:val="false"/>
          <w:smallCaps w:val="false"/>
        </w:rPr>
        <w:t> </w:t>
      </w:r>
    </w:p>
    <w:p>
      <w:pPr>
        <w:pStyle w:val="TextBody"/>
        <w:bidi w:val="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any Voting Commitment that could limit or interfere with such proposed nominee’s ability to comply, if elected as a director of the Corporation, with such proposed nominee’s fiduciary duties under applicable law,</w:t>
      </w:r>
    </w:p>
    <w:p>
      <w:pPr>
        <w:pStyle w:val="TextBody"/>
        <w:bidi w:val="0"/>
        <w:ind w:left="288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 not, and will not become a party to, any agreement, arrangement or understanding with any person or entity other than the Corporation with respect to any direct or indirect compensation or reimbursement for service as a director that has not been disclosed to the Corporation,</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ind w:left="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elected as a director of the Corporation, intends to serve the entire term until the next meeting at which such candidate would face re-election.</w:t>
      </w:r>
    </w:p>
    <w:p>
      <w:pPr>
        <w:pStyle w:val="TextBody"/>
        <w:bidi w:val="0"/>
        <w:ind w:left="216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purposes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the term “</w:t>
      </w:r>
      <w:r>
        <w:rPr>
          <w:rFonts w:ascii="Times New Roman;Times;Serif" w:hAnsi="Times New Roman;Times;Serif"/>
          <w:b/>
          <w:i/>
          <w:caps w:val="false"/>
          <w:smallCaps w:val="false"/>
          <w:sz w:val="20"/>
        </w:rPr>
        <w:t>Nominating Person</w:t>
      </w:r>
      <w:r>
        <w:rPr>
          <w:rFonts w:ascii="Times New Roman;Times;Serif" w:hAnsi="Times New Roman;Times;Serif"/>
          <w:b w:val="false"/>
          <w:i w:val="false"/>
          <w:caps w:val="false"/>
          <w:smallCaps w:val="false"/>
          <w:sz w:val="20"/>
        </w:rPr>
        <w:t>”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Board of Directors may request that any Nominating Person furnish such additional information as may be reasonably required by the Board of Directors. Such Nominating Person shall provide such additional information within ten (10) days after it has been requested by the Board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Without limiting the generality of the foregoing, the Board of Directors may request such other information in order for the Board of Directors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not later than five (5) business days after the request by the Board of Directors has been delivered to, or mailed and received by, the Nominating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 stockholder providing notice of any nomination proposed to be made at a meeting and any candidate for nomination as a director shall further update and supplement such notice or the materials delivered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as applicable, if necessary, so that the information provided or required to be provided in such notice or by such candidate, as applicable,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addition to the requirements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with respect to any nomination proposed to be made at a meeting, each Nominating Person shall comply with all applicable requirements of the Exchange Act with respect to any such nominations. Notwithstanding the foregoing provisions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unless otherwise required by law, (i)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by Rule 14a-19 promulgated under the Exchange Act, as applicable and (ii) if (1) any Nominating Person provides notice in accordance with Rule 14a-19(b) promulgated under the Exchange Act and (2) (x) such notice in accordance with Rule 14a-19(b) is not provided within the time period for Timely Notice, (y) such Nominating Person subsequently fails to comply with the requirements of Rule 14a-19(a)(2) or Rule 14a-19(a)(3) promulgated under the Exchange 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 candidate nominated pursuant to </w:t>
      </w:r>
      <w:r>
        <w:rPr>
          <w:rFonts w:ascii="Times New Roman;Times;Serif" w:hAnsi="Times New Roman;Times;Serif"/>
          <w:b w:val="false"/>
          <w:i w:val="false"/>
          <w:caps w:val="false"/>
          <w:smallCaps w:val="false"/>
          <w:sz w:val="20"/>
          <w:u w:val="single"/>
        </w:rPr>
        <w:t>Section 2.14(a)(ii)</w:t>
      </w:r>
      <w:r>
        <w:rPr>
          <w:rFonts w:ascii="Times New Roman;Times;Serif" w:hAnsi="Times New Roman;Times;Serif"/>
          <w:b w:val="false"/>
          <w:i w:val="false"/>
          <w:caps w:val="false"/>
          <w:smallCaps w:val="false"/>
          <w:sz w:val="20"/>
        </w:rPr>
        <w:t xml:space="preserve"> shall be eligible for nomination as a director of the Corporation unless such candidate for nomination and the Nominating Person seeking to place such candidate’s name in nomination has complied with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as applicable. The presiding officer at the meeting shall, if the facts warrant, determine that a nomination was not properly made in accordance with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Notwithstanding anything in these Bylaws to the contrary, no candidate for nomination shall be eligible to be seated as a director of the Corporation unless nominated in accordance with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elected as a director.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2.15 </w:t>
      </w:r>
      <w:r>
        <w:rPr>
          <w:rFonts w:ascii="Times New Roman;Times;Serif" w:hAnsi="Times New Roman;Times;Serif"/>
          <w:b w:val="false"/>
          <w:i w:val="false"/>
          <w:caps w:val="false"/>
          <w:smallCaps w:val="false"/>
          <w:sz w:val="20"/>
          <w:u w:val="single"/>
        </w:rPr>
        <w:t>Delivery to the Corporation</w:t>
      </w:r>
      <w:r>
        <w:rPr>
          <w:rFonts w:ascii="Times New Roman;Times;Serif" w:hAnsi="Times New Roman;Times;Serif"/>
          <w:b w:val="false"/>
          <w:i w:val="false"/>
          <w:caps w:val="false"/>
          <w:smallCaps w:val="false"/>
          <w:sz w:val="20"/>
        </w:rPr>
        <w:t xml:space="preserve">. Whenever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ind w:left="0" w:right="0" w:firstLine="613"/>
        <w:jc w:val="left"/>
        <w:rPr>
          <w:caps w:val="false"/>
          <w:smallCaps w:val="false"/>
        </w:rPr>
      </w:pPr>
      <w:r>
        <w:rPr>
          <w:caps w:val="false"/>
          <w:smallCaps w:val="false"/>
        </w:rPr>
        <w:t> </w:t>
      </w:r>
    </w:p>
    <w:p>
      <w:pPr>
        <w:pStyle w:val="TextBody"/>
        <w:bidi w:val="0"/>
        <w:spacing w:before="0" w:after="0"/>
        <w:ind w:left="0" w:right="0" w:firstLine="61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ind w:left="0" w:right="0" w:firstLine="613"/>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Except as otherwise provided by the Certificate of Incorporation or the DGCL, the business and affairs of the Corporation shall be managed by or under the direction of the Board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Number; Tenure; Qualifications</w:t>
      </w:r>
      <w:r>
        <w:rPr>
          <w:rFonts w:ascii="Times New Roman;Times;Serif" w:hAnsi="Times New Roman;Times;Serif"/>
          <w:b w:val="false"/>
          <w:i w:val="false"/>
          <w:caps w:val="false"/>
          <w:smallCaps w:val="false"/>
          <w:sz w:val="20"/>
        </w:rPr>
        <w:t>. Subject to the Certificate of Incorporation and the rights of holders of any series of preferred Stock to elect Directors, the total number of Directors constituting the entire Board of Directors shall be fixed from time to time exclusively by resolution of the Board of Directors. No reduction of the authorized number of directors shall have the effect of removing any director before that director’s term of office expires. The Directors shall be elected annually to one-year terms, as provided in the Certificate of Incorporation. Each Director shall hold office until such time as provided in the Certificate of Incorporation. Directors need not be Stockholders to be qualified for election or service as a Director.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Election, Qualification and Term of Office of Directors</w:t>
      </w:r>
      <w:r>
        <w:rPr>
          <w:rFonts w:ascii="Times New Roman;Times;Serif" w:hAnsi="Times New Roman;Times;Serif"/>
          <w:b w:val="false"/>
          <w:i w:val="false"/>
          <w:caps w:val="false"/>
          <w:smallCaps w:val="false"/>
          <w:sz w:val="20"/>
        </w:rPr>
        <w:t>. Except as provided in these Bylaws, and subject to the Certificate of Incorporation, each Director, including a Director elected to fill a vacancy or newly created directorship, shall hold office until the next annual meeting of stockholders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Resignation and Vacancies</w:t>
      </w:r>
      <w:r>
        <w:rPr>
          <w:rFonts w:ascii="Times New Roman;Times;Serif" w:hAnsi="Times New Roman;Times;Serif"/>
          <w:b w:val="false"/>
          <w:i w:val="false"/>
          <w:caps w:val="false"/>
          <w:smallCaps w:val="false"/>
          <w:sz w:val="20"/>
        </w:rPr>
        <w:t>.</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Regular meetings of the Board of Directors may be held at such places, if any, within or without the State of Delaware, and at such times as has been designated by the Board of Directors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of Directors may be called by the Chairperson, the Chief Executive Officer, the President, the Secretary or a majority of the Directors then in office and shall be held at such time, date and place, if any, within or without the State of Delaware as he or she or they shall fix. Notice to Directors of the date, place and time of any special meeting of the Board of Directors shall be given to each Director by the Secretary or by the officer or one of the Directors calling the meeting. Such notice may be given in person, by United States first-class mail, or by e-mail, telephone, telecopier, facsimile or other means of electronic transmission. If the notice is delivered in person, by e-mail, telephone, telecopier, facsimile or other means of electronic transmission, it shall be delivered or sent at least 24 hours before the time of holding of the meeting. If the notice is sent by mail, it shall be deposited in the United States mail at least four days before the time of the holding of the meeting. The notice need not specify the place of the meeting if the meeting is to be held at the Corporation’s principal executive office nor the purpose of the meeting.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val="false"/>
          <w:i w:val="false"/>
          <w:caps w:val="false"/>
          <w:smallCaps w:val="false"/>
          <w:sz w:val="20"/>
          <w:u w:val="single"/>
        </w:rPr>
        <w:t>Place of Meetings; Telephonic Meetings</w:t>
      </w:r>
      <w:r>
        <w:rPr>
          <w:rFonts w:ascii="Times New Roman;Times;Serif" w:hAnsi="Times New Roman;Times;Serif"/>
          <w:b w:val="false"/>
          <w:i w:val="false"/>
          <w:caps w:val="false"/>
          <w:smallCaps w:val="false"/>
          <w:sz w:val="20"/>
        </w:rPr>
        <w:t xml:space="preserve">. The Board of Directors may hold meetings, both regular and special, either within or outside the State of Delaware. Unless otherwise restricted by the Certificate of Incorporation or these Bylaws, Directors may participate in any meetings of the Board of Directors or a committee thereof by means of conference telephone or other communications equipment by means of which all persons participating in the meeting can hear each other, and participation in a meeting of the Board of Directors pursuant to this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 xml:space="preserve"> shall constitute presence in person at such meeting.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3.08 </w:t>
      </w:r>
      <w:r>
        <w:rPr>
          <w:rFonts w:ascii="Times New Roman;Times;Serif" w:hAnsi="Times New Roman;Times;Serif"/>
          <w:b w:val="false"/>
          <w:i w:val="false"/>
          <w:caps w:val="false"/>
          <w:smallCaps w:val="false"/>
          <w:sz w:val="20"/>
          <w:u w:val="single"/>
        </w:rPr>
        <w:t>Quorum; Vote Required for Action</w:t>
      </w:r>
      <w:r>
        <w:rPr>
          <w:rFonts w:ascii="Times New Roman;Times;Serif" w:hAnsi="Times New Roman;Times;Serif"/>
          <w:b w:val="false"/>
          <w:i w:val="false"/>
          <w:caps w:val="false"/>
          <w:smallCaps w:val="false"/>
          <w:sz w:val="20"/>
        </w:rPr>
        <w:t xml:space="preserve">. At all meetings of the Board of Directors, unless otherwise provided by the Certificate of Incorporation, a majority of the total number of Directors shall constitute a quorum for the transaction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for the purposes of filling vacancies pursuant to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a meeting of the Board of Directors may be held if a majority of the Directors then in office participate in such meeting. The affirmative vote of a majority of the Directors present at any meeting of the Board of Directors at which a quorum is present shall be the act of the Board of Directors, except as may be otherwise specifically required by applicable law, the Certificate of Incorporation or these Bylaws. If a quorum is not present at any meeting of the Board of Directors, then the Directors present thereat may adjourn the meeting from time to time, without notice other than announcement at the meeting, until a quorum is present.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3.09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Meetings of the Board of Directors shall be presided over by the Chairperson, or in his or her absence by the person whom the Chairperson shall designate, or in the absence of the foregoing persons by a chairperson chosen at the meeting by the affirmative vote of a majority of the Directors present at the meeting. The Secretary shall act as secretary of the meeting, but in his or her absence, the chairperson of the meeting may appoint any person to act as secretary of the meeting.</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Action by Unanimous Consent of Directors</w:t>
      </w:r>
      <w:r>
        <w:rPr>
          <w:rFonts w:ascii="Times New Roman;Times;Serif" w:hAnsi="Times New Roman;Times;Serif"/>
          <w:b w:val="false"/>
          <w:i w:val="false"/>
          <w:caps w:val="false"/>
          <w:smallCaps w:val="false"/>
          <w:sz w:val="20"/>
        </w:rPr>
        <w:t>. Unless otherwise restricted by the Certificate of Incorporation or these Bylaws, any action required or permitted to be taken at any meeting of the Board of Directors, or of any committee thereof, may be taken without a meeting of the Board of Directors if all members of the Board of Directors or such committee, as the case may be, consent thereto in writing or by electronic transmission. Thereafter, the writing or writings or electronic transmissions shall be filed with the minutes of proceedings of the Board of Directors or such committee in accordance with applicable law. Such action by written consent or consent by electronic transmission shall have the same force and effect as a unanimous vote of the Board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val="false"/>
          <w:caps w:val="false"/>
          <w:smallCaps w:val="false"/>
          <w:sz w:val="20"/>
          <w:u w:val="single"/>
        </w:rPr>
        <w:t>Compensation of Directors</w:t>
      </w:r>
      <w:r>
        <w:rPr>
          <w:rFonts w:ascii="Times New Roman;Times;Serif" w:hAnsi="Times New Roman;Times;Serif"/>
          <w:b w:val="false"/>
          <w:i w:val="false"/>
          <w:caps w:val="false"/>
          <w:smallCaps w:val="false"/>
          <w:sz w:val="20"/>
        </w:rPr>
        <w:t>. Unless otherwise restricted by the Certificate of Incorporation or these Bylaws, the Board of Directors shall have the authority to fix the compensation, including fees and reimbursements of expenses, of Directors for services to the Corporation in any capacity. No such payment shall preclude any Director from serving the Corporation in any other capacity and receiving compensation therefor. Any Director may decline any or all such compensation payable to such Director in his or her discretion.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val="false"/>
          <w:i w:val="false"/>
          <w:caps w:val="false"/>
          <w:smallCaps w:val="false"/>
          <w:sz w:val="20"/>
          <w:u w:val="single"/>
        </w:rPr>
        <w:t>Chairperson</w:t>
      </w:r>
      <w:r>
        <w:rPr>
          <w:rFonts w:ascii="Times New Roman;Times;Serif" w:hAnsi="Times New Roman;Times;Serif"/>
          <w:b w:val="false"/>
          <w:i w:val="false"/>
          <w:caps w:val="false"/>
          <w:smallCaps w:val="false"/>
          <w:sz w:val="20"/>
        </w:rPr>
        <w:t>. The Board of Directors may appoint from its members a chairperson (the “</w:t>
      </w:r>
      <w:r>
        <w:rPr>
          <w:rFonts w:ascii="Times New Roman;Times;Serif" w:hAnsi="Times New Roman;Times;Serif"/>
          <w:b/>
          <w:i/>
          <w:caps w:val="false"/>
          <w:smallCaps w:val="false"/>
          <w:sz w:val="20"/>
        </w:rPr>
        <w:t>Chairperson</w:t>
      </w:r>
      <w:r>
        <w:rPr>
          <w:rFonts w:ascii="Times New Roman;Times;Serif" w:hAnsi="Times New Roman;Times;Serif"/>
          <w:b w:val="false"/>
          <w:i w:val="false"/>
          <w:caps w:val="false"/>
          <w:smallCaps w:val="false"/>
          <w:sz w:val="20"/>
        </w:rPr>
        <w:t>”). The Board of Directors may, in its sole discretion, from time to time appoint one or more vice chairpersons (each, a “</w:t>
      </w:r>
      <w:r>
        <w:rPr>
          <w:rFonts w:ascii="Times New Roman;Times;Serif" w:hAnsi="Times New Roman;Times;Serif"/>
          <w:b/>
          <w:i/>
          <w:caps w:val="false"/>
          <w:smallCaps w:val="false"/>
          <w:sz w:val="20"/>
        </w:rPr>
        <w:t>Vice Chairperson</w:t>
      </w:r>
      <w:r>
        <w:rPr>
          <w:rFonts w:ascii="Times New Roman;Times;Serif" w:hAnsi="Times New Roman;Times;Serif"/>
          <w:b w:val="false"/>
          <w:i w:val="false"/>
          <w:caps w:val="false"/>
          <w:smallCaps w:val="false"/>
          <w:sz w:val="20"/>
        </w:rPr>
        <w:t>”), each of whom in such capacity shall report directly to the Chairperson.</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Committees</w:t>
      </w:r>
      <w:r>
        <w:rPr>
          <w:rFonts w:ascii="Times New Roman;Times;Serif" w:hAnsi="Times New Roman;Times;Serif"/>
          <w:b w:val="false"/>
          <w:i w:val="false"/>
          <w:caps w:val="false"/>
          <w:smallCaps w:val="false"/>
          <w:sz w:val="20"/>
        </w:rPr>
        <w:t>. The Board of Directors may designate one (1) or more committees, each committee to consist of one (1) or more of the Directors. The Board of Directors may designate one or more Directors as alternate members of any committee, who may replace any absent or disqualified member at any meeting of such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applicable law and to the extent provided in a resolution of the Board of Directors, shall have and may exercise all of the powers and authority of the Board of Directors in the management of the business and affairs of the Corporation, and may authorize the seal of the Corporation (if one is adopted) to be affixed to all papers which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 Except as otherwise provided in the Certificate of Incorporation, these Bylaws, or the resolution of the Board of Directors designating the committee, a committee may create one (1) or more subcommittees, each subcommittee to consist of one (1) or more members of the committee, and delegate to a subcommittee any or all of the powers and authority of the committee. Except as otherwise provided in the Certificate of Incorporation, these Bylaws, or the resolution of the Board of Directors designating the committee (or resolution of the committee designating the subcommittee, if applicable), a majority of the Directors then serving on a committee or subcommittee, as applicable, shall constitute a quorum for the transaction of business, and the vote of a majority of the members of the committee or subcommittee, as applicable, present at a meeting at which a quorum is present shall be the act of the committee or subcommittee, as applicable. Meetings of any committee of the Board of Directors may be held at any time or place, if any, within or without the State of Delaware whenever called by the Chairperson or a majority of the members of such committee.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Committee Minutes</w:t>
      </w:r>
      <w:r>
        <w:rPr>
          <w:rFonts w:ascii="Times New Roman;Times;Serif" w:hAnsi="Times New Roman;Times;Serif"/>
          <w:b w:val="false"/>
          <w:i w:val="false"/>
          <w:caps w:val="false"/>
          <w:smallCaps w:val="false"/>
          <w:sz w:val="20"/>
        </w:rPr>
        <w:t>. Each committee of the Board of Directors shall keep regular minutes of its meetings and report the same to the Board of Directors when required.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Committee Rules</w:t>
      </w:r>
      <w:r>
        <w:rPr>
          <w:rFonts w:ascii="Times New Roman;Times;Serif" w:hAnsi="Times New Roman;Times;Serif"/>
          <w:b w:val="false"/>
          <w:i w:val="false"/>
          <w:caps w:val="false"/>
          <w:smallCaps w:val="false"/>
          <w:sz w:val="20"/>
        </w:rPr>
        <w:t xml:space="preserve">. Unless the Board of Directors otherwise provides, each committee designated by the Board of Directors may make, alter and repeal rules for the conduct of its business. In the absence of such rules, each such committee shall conduct its business in the same manner as the Board of Directors conducts its business pursuant to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The officers of the Corporation shall include a Chief Executive Officer, a President and a Secretary. The Corporation may also have, at the discretion of the Board of Directors, a Chairperson, a Vice Chairperson, a Chief Financial Officer, a Treasurer, one (1) or more Vice Presidents, one (1) or more Assistant Vice Presidents, one (1) or more Assistant Treasurers, one (1) or more Assistant Secretaries, and any such other officers as may be appointed in accordance with the provisions of these Bylaws. Each officer of the Corporation shall hold office for such term as may be prescribed by the Board of Directors and until his or her successor is duly elected and qualified or until his or her earlier death, resignation or removal. No officer need be a Stockholder or Director.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Appointment of Officers</w:t>
      </w:r>
      <w:r>
        <w:rPr>
          <w:rFonts w:ascii="Times New Roman;Times;Serif" w:hAnsi="Times New Roman;Times;Serif"/>
          <w:b w:val="false"/>
          <w:i w:val="false"/>
          <w:caps w:val="false"/>
          <w:smallCaps w:val="false"/>
          <w:sz w:val="20"/>
        </w:rPr>
        <w:t xml:space="preserve">. The Board of Directors shall appoint the officers of the Corporation, except such officers as may be appointed in accordance with the provisions of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Subordinate Officers</w:t>
      </w:r>
      <w:r>
        <w:rPr>
          <w:rFonts w:ascii="Times New Roman;Times;Serif" w:hAnsi="Times New Roman;Times;Serif"/>
          <w:b w:val="false"/>
          <w:i w:val="false"/>
          <w:caps w:val="false"/>
          <w:smallCaps w:val="false"/>
          <w:sz w:val="20"/>
        </w:rPr>
        <w:t>. The Board of Directors may appoint, or empower the Chief Executive Officer of the Corporation or, in the absence of a Chief Executive Officer of the Corporation, the President of the Corporation,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Removal and Resignation of Officers</w:t>
      </w:r>
      <w:r>
        <w:rPr>
          <w:rFonts w:ascii="Times New Roman;Times;Serif" w:hAnsi="Times New Roman;Times;Serif"/>
          <w:b w:val="false"/>
          <w:i w:val="false"/>
          <w:caps w:val="false"/>
          <w:smallCaps w:val="false"/>
          <w:sz w:val="20"/>
        </w:rPr>
        <w:t>. Subject to the rights, if any, of an officer under any contract of employment, any officer may be removed, either with or without cause, by the Board of Directors or, except in the case of an officer chosen by the Board of Directors, by any officer upon whom such power of removal may be conferred by the Board of Directors. 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resignation is without prejudice to the rights, if any, of the Corporation under any contract to which the officer is a party.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val="false"/>
          <w:caps w:val="false"/>
          <w:smallCaps w:val="false"/>
          <w:sz w:val="20"/>
          <w:u w:val="single"/>
        </w:rPr>
        <w:t>Vacancies in Offices</w:t>
      </w:r>
      <w:r>
        <w:rPr>
          <w:rFonts w:ascii="Times New Roman;Times;Serif" w:hAnsi="Times New Roman;Times;Serif"/>
          <w:b w:val="false"/>
          <w:i w:val="false"/>
          <w:caps w:val="false"/>
          <w:smallCaps w:val="false"/>
          <w:sz w:val="20"/>
        </w:rPr>
        <w:t xml:space="preserve">. Any vacancy occurring in any office of the Corporation shall be filled by the Board of Directors or as provided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val="false"/>
          <w:caps w:val="false"/>
          <w:smallCaps w:val="false"/>
          <w:sz w:val="20"/>
          <w:u w:val="single"/>
        </w:rPr>
        <w:t>Representation of Shares of Other Entities</w:t>
      </w:r>
      <w:r>
        <w:rPr>
          <w:rFonts w:ascii="Times New Roman;Times;Serif" w:hAnsi="Times New Roman;Times;Serif"/>
          <w:b w:val="false"/>
          <w:i w:val="false"/>
          <w:caps w:val="false"/>
          <w:smallCaps w:val="false"/>
          <w:sz w:val="20"/>
        </w:rPr>
        <w:t>. Unless otherwise directed by the Board of Directors, the Chairperson, the Chief Executive Officer, or the President of this Corporation, or any other person authorized by the Board of Directors,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val="false"/>
          <w:caps w:val="false"/>
          <w:smallCaps w:val="false"/>
          <w:sz w:val="20"/>
          <w:u w:val="single"/>
        </w:rPr>
        <w:t>Authority and Duties of Officers</w:t>
      </w:r>
      <w:r>
        <w:rPr>
          <w:rFonts w:ascii="Times New Roman;Times;Serif" w:hAnsi="Times New Roman;Times;Serif"/>
          <w:b w:val="false"/>
          <w:i w:val="false"/>
          <w:caps w:val="false"/>
          <w:smallCaps w:val="false"/>
          <w:sz w:val="20"/>
        </w:rPr>
        <w:t>. All officers of the Corporation shall respectively have such authority and perform such duties in the management of the business of the Corporation as may be provided herein or designated from time to time by the Board of Directors and, to the extent not so provided, as generally pertain to their respective offices, subject to the control of the Board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The compensation of the officers of the Corporation for their services as such shall be fixed from time to time by or at the direction of the Board of Directors. An officer of the Corporation shall not be prevented from receiving compensation by reason of the fact that he or she is also a Director.</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A stock ledger consisting of one or more records in which the names of all of the Stockholders of record, the address and number of shares registered in the name of each such Stockholder, and all issuances and transfers of Stock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MATTERS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Execution of Corporate Contracts and Instruments</w:t>
      </w:r>
      <w:r>
        <w:rPr>
          <w:rFonts w:ascii="Times New Roman;Times;Serif" w:hAnsi="Times New Roman;Times;Serif"/>
          <w:b w:val="false"/>
          <w:i w:val="false"/>
          <w:caps w:val="false"/>
          <w:smallCaps w:val="false"/>
          <w:sz w:val="20"/>
        </w:rPr>
        <w:t>.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pStyle w:val="TextBody"/>
        <w:bidi w:val="0"/>
        <w:ind w:left="0" w:right="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Stock Certificates</w:t>
      </w:r>
      <w:r>
        <w:rPr>
          <w:rFonts w:ascii="Times New Roman;Times;Serif" w:hAnsi="Times New Roman;Times;Serif"/>
          <w:b w:val="false"/>
          <w:i w:val="false"/>
          <w:caps w:val="false"/>
          <w:smallCaps w:val="false"/>
          <w:sz w:val="20"/>
        </w:rPr>
        <w:t>.</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of Stock shall be represented by certificates, provided that the Board of Directors by resolution may provide that some or all of the shares of any class or series of Stock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Corporation may issue the whole or any part of its shares of Stock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Special Designation of Certificates</w:t>
      </w:r>
      <w:r>
        <w:rPr>
          <w:rFonts w:ascii="Times New Roman;Times;Serif" w:hAnsi="Times New Roman;Times;Serif"/>
          <w:b w:val="false"/>
          <w:i w:val="false"/>
          <w:caps w:val="false"/>
          <w:smallCaps w:val="false"/>
          <w:sz w:val="20"/>
        </w:rPr>
        <w:t xml:space="preserve">.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Lost Certificates</w:t>
      </w:r>
      <w:r>
        <w:rPr>
          <w:rFonts w:ascii="Times New Roman;Times;Serif" w:hAnsi="Times New Roman;Times;Serif"/>
          <w:b w:val="false"/>
          <w:i w:val="false"/>
          <w:caps w:val="false"/>
          <w:smallCaps w:val="false"/>
          <w:sz w:val="20"/>
        </w:rPr>
        <w:t xml:space="preserve">. Except as provided in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no new certificates for shares of Stock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Shares Without Certificates</w:t>
      </w:r>
      <w:r>
        <w:rPr>
          <w:rFonts w:ascii="Times New Roman;Times;Serif" w:hAnsi="Times New Roman;Times;Serif"/>
          <w:b w:val="false"/>
          <w:i w:val="false"/>
          <w:caps w:val="false"/>
          <w:smallCaps w:val="false"/>
          <w:sz w:val="20"/>
        </w:rPr>
        <w:t>.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Construction; Definitions</w:t>
      </w:r>
      <w:r>
        <w:rPr>
          <w:rFonts w:ascii="Times New Roman;Times;Serif" w:hAnsi="Times New Roman;Times;Serif"/>
          <w:b w:val="false"/>
          <w:i w:val="false"/>
          <w:caps w:val="false"/>
          <w:smallCaps w:val="false"/>
          <w:sz w:val="20"/>
        </w:rPr>
        <w:t>. 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The Board of Directors, subject to any restrictions contained in either (i) the DGCL or (ii) the Certificate of Incorporation, may declare and pay dividends upon the shares of its Stock. Dividends may be paid in cash, in property or in shares of Stock.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Corporation shall be fixed by resolution of the Board of Directors and may be changed by the Board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val="false"/>
          <w:caps w:val="false"/>
          <w:smallCaps w:val="false"/>
          <w:sz w:val="20"/>
          <w:u w:val="single"/>
        </w:rPr>
        <w:t>Seal</w:t>
      </w:r>
      <w:r>
        <w:rPr>
          <w:rFonts w:ascii="Times New Roman;Times;Serif" w:hAnsi="Times New Roman;Times;Serif"/>
          <w:b w:val="false"/>
          <w:i w:val="false"/>
          <w:caps w:val="false"/>
          <w:smallCaps w:val="false"/>
          <w:sz w:val="20"/>
        </w:rPr>
        <w:t>. The Corporation may adopt a corporate seal, which shall be adopted and which may be altered by the Board of Directors. The Corporation may use the corporate seal by causing it or a facsimile thereof to be impressed or affixed or in any other manner reproduced.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Transfer of Stock</w:t>
      </w:r>
      <w:r>
        <w:rPr>
          <w:rFonts w:ascii="Times New Roman;Times;Serif" w:hAnsi="Times New Roman;Times;Serif"/>
          <w:b w:val="false"/>
          <w:i w:val="false"/>
          <w:caps w:val="false"/>
          <w:smallCaps w:val="false"/>
          <w:sz w:val="20"/>
        </w:rPr>
        <w:t>. Shares of Stock shall be transferable in the manner prescribed by law and in these Bylaws. Shares of Stock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Stock Transfer Agreements</w:t>
      </w:r>
      <w:r>
        <w:rPr>
          <w:rFonts w:ascii="Times New Roman;Times;Serif" w:hAnsi="Times New Roman;Times;Serif"/>
          <w:b w:val="false"/>
          <w:i w:val="false"/>
          <w:caps w:val="false"/>
          <w:smallCaps w:val="false"/>
          <w:sz w:val="20"/>
        </w:rPr>
        <w:t>. The Corporation shall have power to enter into and perform any agreement with any number of Stockholders of any one or more classes or series of Stock to restrict the transfer of shares of Stock of any one or more classes owned by such Stockholders in any manner not prohibited by the DGCL.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Registered Stockholders</w:t>
      </w:r>
      <w:r>
        <w:rPr>
          <w:rFonts w:ascii="Times New Roman;Times;Serif" w:hAnsi="Times New Roman;Times;Serif"/>
          <w:b w:val="false"/>
          <w:i w:val="false"/>
          <w:caps w:val="false"/>
          <w:smallCaps w:val="false"/>
          <w:sz w:val="20"/>
        </w:rPr>
        <w:t>. The Corporation shall (i) be entitled to recognize the exclusive right of a person registered on its books as the owner of shares of Stock to receive dividends and to vote as such owner; and (ii) not be bound to recognize any equitable or other claim to or interest in such share or shares of Stock on the part of another person, whether or not it shall have express or other notice thereof, except as otherwise provided by the laws of the State of Delaware.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w:t>
      </w:r>
    </w:p>
    <w:p>
      <w:pPr>
        <w:pStyle w:val="TextBody"/>
        <w:bidi w:val="0"/>
        <w:ind w:left="0" w:right="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Delivery of Notice; Notice by Electronic Transmission</w:t>
      </w:r>
      <w:r>
        <w:rPr>
          <w:rFonts w:ascii="Times New Roman;Times;Serif" w:hAnsi="Times New Roman;Times;Serif"/>
          <w:b w:val="false"/>
          <w:i w:val="false"/>
          <w:caps w:val="false"/>
          <w:smallCaps w:val="false"/>
          <w:sz w:val="20"/>
        </w:rPr>
        <w:t>.</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xml:space="preserve"> without obtaining the consent required by this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notice given pursuant to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 (iii) if by any other form of electronic transmission, when directed to the Stockholder. 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the inadvertent failure to discover such inability shall not invalidate any meeting or other action. An affidavit of the Secretary or an Assistant Secretary or of the transfer agent or other agent of the Corporation that the notice has been given shall, in the absence of fraud, be prima facie evidence of the facts stated therein.</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Indemnification of Directors and Officers</w:t>
      </w:r>
      <w:r>
        <w:rPr>
          <w:rFonts w:ascii="Times New Roman;Times;Serif" w:hAnsi="Times New Roman;Times;Serif"/>
          <w:b w:val="false"/>
          <w:i w:val="false"/>
          <w:caps w:val="false"/>
          <w:smallCaps w:val="false"/>
          <w:sz w:val="20"/>
        </w:rPr>
        <w:t>. 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Times;Serif" w:hAnsi="Times New Roman;Times;Serif"/>
          <w:b/>
          <w:i/>
          <w:caps w:val="false"/>
          <w:smallCaps w:val="false"/>
          <w:sz w:val="20"/>
        </w:rPr>
        <w:t>Proceeding</w:t>
      </w:r>
      <w:r>
        <w:rPr>
          <w:rFonts w:ascii="Times New Roman;Times;Serif" w:hAnsi="Times New Roman;Times;Serif"/>
          <w:b w:val="false"/>
          <w:i w:val="false"/>
          <w:caps w:val="false"/>
          <w:smallCaps w:val="false"/>
          <w:sz w:val="20"/>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w:t>
      </w:r>
      <w:r>
        <w:rPr>
          <w:rFonts w:ascii="Times New Roman;Times;Serif" w:hAnsi="Times New Roman;Times;Serif"/>
          <w:b/>
          <w:i/>
          <w:caps w:val="false"/>
          <w:smallCaps w:val="false"/>
          <w:sz w:val="20"/>
        </w:rPr>
        <w:t>covered person</w:t>
      </w:r>
      <w:r>
        <w:rPr>
          <w:rFonts w:ascii="Times New Roman;Times;Serif" w:hAnsi="Times New Roman;Times;Serif"/>
          <w:b w:val="false"/>
          <w:i w:val="false"/>
          <w:caps w:val="false"/>
          <w:smallCaps w:val="false"/>
          <w:sz w:val="20"/>
        </w:rPr>
        <w:t xml:space="preserve">”),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the Corporation shall be required to indemnify a person in connection with a Proceeding initiated by such person only if the Proceeding was authorized in the specific case by the Board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Indemnification of Others</w:t>
      </w:r>
      <w:r>
        <w:rPr>
          <w:rFonts w:ascii="Times New Roman;Times;Serif" w:hAnsi="Times New Roman;Times;Serif"/>
          <w:b w:val="false"/>
          <w:i w:val="false"/>
          <w:caps w:val="false"/>
          <w:smallCaps w:val="false"/>
          <w:sz w:val="20"/>
        </w:rPr>
        <w:t>. 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Prepayment of Expenses</w:t>
      </w:r>
      <w:r>
        <w:rPr>
          <w:rFonts w:ascii="Times New Roman;Times;Serif" w:hAnsi="Times New Roman;Times;Serif"/>
          <w:b w:val="false"/>
          <w:i w:val="false"/>
          <w:caps w:val="false"/>
          <w:smallCaps w:val="false"/>
          <w:sz w:val="20"/>
        </w:rPr>
        <w:t xml:space="preserve">. 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to the extent required by law, such payment of expenses in advance of the final disposition of the Proceeding shall be made only upon receipt of an undertaking by the person to repay all amounts advanced if it should be ultimately determined that the person is not entitled to be indemnified under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val="false"/>
          <w:caps w:val="false"/>
          <w:smallCaps w:val="false"/>
          <w:sz w:val="20"/>
          <w:u w:val="single"/>
        </w:rPr>
        <w:t>Determination; Claim</w:t>
      </w:r>
      <w:r>
        <w:rPr>
          <w:rFonts w:ascii="Times New Roman;Times;Serif" w:hAnsi="Times New Roman;Times;Serif"/>
          <w:b w:val="false"/>
          <w:i w:val="false"/>
          <w:caps w:val="false"/>
          <w:smallCaps w:val="false"/>
          <w:sz w:val="20"/>
        </w:rPr>
        <w:t xml:space="preserve">. If a claim for indemnification (following the final disposition of such Proceeding) under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is not paid in full within 60 days, or a claim for advancement of expenses under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is not paid in full within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val="false"/>
          <w:caps w:val="false"/>
          <w:smallCaps w:val="false"/>
          <w:sz w:val="20"/>
          <w:u w:val="single"/>
        </w:rPr>
        <w:t>Non-Exclusivity of Rights</w:t>
      </w:r>
      <w:r>
        <w:rPr>
          <w:rFonts w:ascii="Times New Roman;Times;Serif" w:hAnsi="Times New Roman;Times;Serif"/>
          <w:b w:val="false"/>
          <w:i w:val="false"/>
          <w:caps w:val="false"/>
          <w:smallCaps w:val="false"/>
          <w:sz w:val="20"/>
        </w:rPr>
        <w:t xml:space="preserve">. The rights conferred on any person by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shall not be exclusive of any other rights which such person may have or hereafter acquire under any statute, provision of the Certificate of Incorporation, these Bylaws, agreement, vote of Stockholders or disinterested Directors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9.07 </w:t>
      </w:r>
      <w:r>
        <w:rPr>
          <w:rFonts w:ascii="Times New Roman;Times;Serif" w:hAnsi="Times New Roman;Times;Serif"/>
          <w:b w:val="false"/>
          <w:i w:val="false"/>
          <w:caps w:val="false"/>
          <w:smallCaps w:val="false"/>
          <w:sz w:val="20"/>
          <w:u w:val="single"/>
        </w:rPr>
        <w:t>Other Indemnification</w:t>
      </w:r>
      <w:r>
        <w:rPr>
          <w:rFonts w:ascii="Times New Roman;Times;Serif" w:hAnsi="Times New Roman;Times;Serif"/>
          <w:b w:val="false"/>
          <w:i w:val="false"/>
          <w:caps w:val="false"/>
          <w:smallCaps w:val="false"/>
          <w:sz w:val="20"/>
        </w:rPr>
        <w:t>.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9.08 </w:t>
      </w:r>
      <w:r>
        <w:rPr>
          <w:rFonts w:ascii="Times New Roman;Times;Serif" w:hAnsi="Times New Roman;Times;Serif"/>
          <w:b w:val="false"/>
          <w:i w:val="false"/>
          <w:caps w:val="false"/>
          <w:smallCaps w:val="false"/>
          <w:sz w:val="20"/>
          <w:u w:val="single"/>
        </w:rPr>
        <w:t>Continuation of Indemnification</w:t>
      </w:r>
      <w:r>
        <w:rPr>
          <w:rFonts w:ascii="Times New Roman;Times;Serif" w:hAnsi="Times New Roman;Times;Serif"/>
          <w:b w:val="false"/>
          <w:i w:val="false"/>
          <w:caps w:val="false"/>
          <w:smallCaps w:val="false"/>
          <w:sz w:val="20"/>
        </w:rPr>
        <w:t xml:space="preserve">. The rights to indemnification and to prepayment of expenses provided by, or granted pursuant to,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shall continue notwithstanding that the person has ceased to be a Director or officer of the Corporation and shall inure to the benefit of the estate, heirs, executors, administrators, legatees and distributees of such person.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9.09 </w:t>
      </w:r>
      <w:r>
        <w:rPr>
          <w:rFonts w:ascii="Times New Roman;Times;Serif" w:hAnsi="Times New Roman;Times;Serif"/>
          <w:b w:val="false"/>
          <w:i w:val="false"/>
          <w:caps w:val="false"/>
          <w:smallCaps w:val="false"/>
          <w:sz w:val="20"/>
          <w:u w:val="single"/>
        </w:rPr>
        <w:t>Amendment or Repeal; Interpretation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provisions of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reference to an officer of the Corporation in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shall be deemed to refer exclusively to the Chief Executive Officer, President, and Secretary, or other officer of the Corporation appointed by (x) the Board of Directors pursuant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(y) an officer to whom the Board of Directors has delegated the power to appoint officers pursuant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expressly empowered to adopt, amend or repeal these Bylaws. The Stockholders also shall have power to adopt, amend or repeal these Bylaws; provided, however, that such action by Stockholders shall require, in addition to any other vote required by the Certificate of Incorporation or applicable law, the affirmative vote of the holders of at least two-thirds of the voting power of all the then outstanding shares of voting Stock of the Corporation with the power to vote generally in an election of Directors, voting together as a single class.</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these Bylaws, unless the context otherwise requires, the following terms shall have the following meanings: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w:t>
      </w:r>
      <w:r>
        <w:rPr>
          <w:rFonts w:ascii="Times New Roman;Times;Serif" w:hAnsi="Times New Roman;Times;Serif"/>
          <w:b w:val="false"/>
          <w:i w:val="false"/>
          <w:caps w:val="false"/>
          <w:smallCaps w:val="false"/>
          <w:sz w:val="20"/>
          <w:u w:val="single"/>
        </w:rPr>
        <w:t>electronic transmission</w:t>
      </w:r>
      <w:r>
        <w:rPr>
          <w:rFonts w:ascii="Times New Roman;Times;Serif" w:hAnsi="Times New Roman;Times;Serif"/>
          <w:b w:val="false"/>
          <w:i w:val="false"/>
          <w:caps w:val="false"/>
          <w:smallCaps w:val="false"/>
          <w:sz w:val="20"/>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w:t>
      </w:r>
      <w:r>
        <w:rPr>
          <w:rFonts w:ascii="Times New Roman;Times;Serif" w:hAnsi="Times New Roman;Times;Serif"/>
          <w:b w:val="false"/>
          <w:i w:val="false"/>
          <w:caps w:val="false"/>
          <w:smallCaps w:val="false"/>
          <w:sz w:val="20"/>
          <w:u w:val="single"/>
        </w:rPr>
        <w:t>electronic mail</w:t>
      </w:r>
      <w:r>
        <w:rPr>
          <w:rFonts w:ascii="Times New Roman;Times;Serif" w:hAnsi="Times New Roman;Times;Serif"/>
          <w:b w:val="false"/>
          <w:i w:val="false"/>
          <w:caps w:val="false"/>
          <w:smallCaps w:val="false"/>
          <w:sz w:val="20"/>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w:t>
      </w:r>
      <w:r>
        <w:rPr>
          <w:rFonts w:ascii="Times New Roman;Times;Serif" w:hAnsi="Times New Roman;Times;Serif"/>
          <w:b w:val="false"/>
          <w:i w:val="false"/>
          <w:caps w:val="false"/>
          <w:smallCaps w:val="false"/>
          <w:sz w:val="20"/>
          <w:u w:val="single"/>
        </w:rPr>
        <w:t>electronic mail address</w:t>
      </w:r>
      <w:r>
        <w:rPr>
          <w:rFonts w:ascii="Times New Roman;Times;Serif" w:hAnsi="Times New Roman;Times;Serif"/>
          <w:b w:val="false"/>
          <w:i w:val="false"/>
          <w:caps w:val="false"/>
          <w:smallCaps w:val="false"/>
          <w:sz w:val="20"/>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jc w:val="center"/>
        <w:rPr>
          <w:caps w:val="false"/>
          <w:smallCaps w:val="false"/>
        </w:rPr>
      </w:pPr>
      <w:r>
        <w:rPr>
          <w:caps w:val="false"/>
          <w:smallCaps w:val="false"/>
        </w:rPr>
        <w:t> </w:t>
      </w:r>
    </w:p>
    <w:p>
      <w:pPr>
        <w:pStyle w:val="TextBody"/>
        <w:bidi w:val="0"/>
        <w:spacing w:before="0" w:after="0"/>
        <w:ind w:left="792" w:right="0" w:hanging="25"/>
        <w:jc w:val="right"/>
        <w:rPr>
          <w:rFonts w:ascii="Times New Roman;Times;Serif" w:hAnsi="Times New Roman;Times;Serif"/>
          <w:b/>
          <w:i w:val="false"/>
          <w:caps w:val="false"/>
          <w:smallCaps w:val="false"/>
          <w:sz w:val="20"/>
        </w:rPr>
      </w:pPr>
      <w:bookmarkStart w:id="40" w:name="ea028257401ex3-4.htm"/>
      <w:bookmarkStart w:id="41" w:name="ksea028257401ex34"/>
      <w:bookmarkEnd w:id="40"/>
      <w:bookmarkEnd w:id="41"/>
      <w:r>
        <w:rPr>
          <w:rFonts w:ascii="Times New Roman;Times;Serif" w:hAnsi="Times New Roman;Times;Serif"/>
          <w:b/>
          <w:i w:val="false"/>
          <w:caps w:val="false"/>
          <w:smallCaps w:val="false"/>
          <w:sz w:val="20"/>
        </w:rPr>
        <w:t>Exhibit 3.4</w:t>
      </w:r>
      <w:r>
        <w:br w:type="page"/>
      </w:r>
    </w:p>
    <w:p>
      <w:pPr>
        <w:pStyle w:val="TextBody"/>
        <w:bidi w:val="0"/>
        <w:spacing w:before="0" w:after="0"/>
        <w:jc w:val="center"/>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4235"/>
        <w:gridCol w:w="75"/>
      </w:tblGrid>
      <w:tr>
        <w:trPr/>
        <w:tc>
          <w:tcPr>
            <w:tcW w:w="4235" w:type="dxa"/>
            <w:tcBorders/>
            <w:vAlign w:val="center"/>
          </w:tcPr>
          <w:p>
            <w:pPr>
              <w:pStyle w:val="TableContents"/>
              <w:bidi w:val="0"/>
              <w:spacing w:before="0" w:after="283"/>
              <w:jc w:val="center"/>
              <w:rPr>
                <w:b/>
                <w:color w:val="0A0808"/>
              </w:rPr>
            </w:pPr>
            <w:r>
              <w:rPr>
                <w:b/>
                <w:color w:val="0A0808"/>
              </w:rPr>
              <w:t>State of Delaware</w:t>
            </w:r>
          </w:p>
        </w:tc>
        <w:tc>
          <w:tcPr>
            <w:tcW w:w="7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b/>
                <w:color w:val="0A0808"/>
              </w:rPr>
            </w:pPr>
            <w:r>
              <w:rPr>
                <w:b/>
                <w:color w:val="0A0808"/>
              </w:rPr>
              <w:t>Secretary of State</w:t>
            </w:r>
          </w:p>
        </w:tc>
        <w:tc>
          <w:tcPr>
            <w:tcW w:w="7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b/>
                <w:color w:val="1A181A"/>
              </w:rPr>
            </w:pPr>
            <w:r>
              <w:rPr>
                <w:b/>
                <w:color w:val="1A181A"/>
              </w:rPr>
              <w:t>Division of Corporations</w:t>
            </w:r>
          </w:p>
        </w:tc>
        <w:tc>
          <w:tcPr>
            <w:tcW w:w="7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b/>
                <w:color w:val="1A181A"/>
              </w:rPr>
            </w:pPr>
            <w:r>
              <w:rPr>
                <w:b/>
                <w:color w:val="1A181A"/>
              </w:rPr>
              <w:t>Delivered 07:17 PM 03/13/2026</w:t>
            </w:r>
          </w:p>
        </w:tc>
        <w:tc>
          <w:tcPr>
            <w:tcW w:w="7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b/>
                <w:color w:val="1A181A"/>
              </w:rPr>
            </w:pPr>
            <w:r>
              <w:rPr>
                <w:b/>
                <w:color w:val="1A181A"/>
              </w:rPr>
              <w:t>FILED 07:17 PM 03/13/2026</w:t>
            </w:r>
          </w:p>
        </w:tc>
        <w:tc>
          <w:tcPr>
            <w:tcW w:w="7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b/>
                <w:color w:val="1A181A"/>
              </w:rPr>
            </w:pPr>
            <w:r>
              <w:rPr>
                <w:b/>
                <w:color w:val="1A181A"/>
              </w:rPr>
              <w:t>SR 20261191195 - File Number 10546642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color w:val="0A0808"/>
        </w:rPr>
      </w:pPr>
      <w:r>
        <w:rPr>
          <w:caps w:val="false"/>
          <w:smallCaps w:val="false"/>
          <w:color w:val="0A0808"/>
        </w:rPr>
        <w:t> </w:t>
      </w:r>
    </w:p>
    <w:p>
      <w:pPr>
        <w:pStyle w:val="TextBody"/>
        <w:bidi w:val="0"/>
        <w:spacing w:before="0" w:after="0"/>
        <w:jc w:val="center"/>
        <w:rPr>
          <w:rFonts w:ascii="Times New Roman;Times;Serif" w:hAnsi="Times New Roman;Times;Serif"/>
          <w:b/>
          <w:i w:val="false"/>
          <w:caps w:val="false"/>
          <w:smallCaps w:val="false"/>
          <w:color w:val="0A0808"/>
          <w:sz w:val="20"/>
        </w:rPr>
      </w:pPr>
      <w:r>
        <w:rPr>
          <w:rFonts w:ascii="Times New Roman;Times;Serif" w:hAnsi="Times New Roman;Times;Serif"/>
          <w:b/>
          <w:i w:val="false"/>
          <w:caps w:val="false"/>
          <w:smallCaps w:val="false"/>
          <w:color w:val="0A0808"/>
          <w:sz w:val="20"/>
        </w:rPr>
        <w:t>MERLIN, INC.</w:t>
      </w:r>
    </w:p>
    <w:p>
      <w:pPr>
        <w:pStyle w:val="TextBody"/>
        <w:bidi w:val="0"/>
        <w:spacing w:before="0" w:after="0"/>
        <w:jc w:val="center"/>
        <w:rPr>
          <w:rFonts w:ascii="Times New Roman;Times;Serif" w:hAnsi="Times New Roman;Times;Serif"/>
          <w:b/>
          <w:i w:val="false"/>
          <w:caps w:val="false"/>
          <w:smallCaps w:val="false"/>
          <w:color w:val="0A0808"/>
          <w:sz w:val="20"/>
        </w:rPr>
      </w:pPr>
      <w:r>
        <w:rPr>
          <w:rFonts w:ascii="Times New Roman;Times;Serif" w:hAnsi="Times New Roman;Times;Serif"/>
          <w:b/>
          <w:i w:val="false"/>
          <w:caps w:val="false"/>
          <w:smallCaps w:val="false"/>
          <w:color w:val="0A0808"/>
          <w:sz w:val="20"/>
        </w:rPr>
        <w:t xml:space="preserve">CERTIFICATE OF DESIGNATION OF PREFERENCES, </w:t>
        <w:br/>
        <w:t>RIGHTS AND LIMITATIONS</w:t>
      </w:r>
    </w:p>
    <w:p>
      <w:pPr>
        <w:pStyle w:val="TextBody"/>
        <w:bidi w:val="0"/>
        <w:spacing w:before="0" w:after="0"/>
        <w:jc w:val="center"/>
        <w:rPr>
          <w:rFonts w:ascii="Times New Roman;Times;Serif" w:hAnsi="Times New Roman;Times;Serif"/>
          <w:b/>
          <w:i w:val="false"/>
          <w:caps w:val="false"/>
          <w:smallCaps w:val="false"/>
          <w:color w:val="0A0808"/>
          <w:sz w:val="20"/>
        </w:rPr>
      </w:pPr>
      <w:r>
        <w:rPr>
          <w:rFonts w:ascii="Times New Roman;Times;Serif" w:hAnsi="Times New Roman;Times;Serif"/>
          <w:b/>
          <w:i w:val="false"/>
          <w:caps w:val="false"/>
          <w:smallCaps w:val="false"/>
          <w:color w:val="0A0808"/>
          <w:sz w:val="20"/>
        </w:rPr>
        <w:t>OF</w:t>
      </w:r>
    </w:p>
    <w:p>
      <w:pPr>
        <w:pStyle w:val="TextBody"/>
        <w:bidi w:val="0"/>
        <w:spacing w:before="0" w:after="0"/>
        <w:jc w:val="center"/>
        <w:rPr>
          <w:rFonts w:ascii="Times New Roman;Times;Serif" w:hAnsi="Times New Roman;Times;Serif"/>
          <w:b/>
          <w:i w:val="false"/>
          <w:caps w:val="false"/>
          <w:smallCaps w:val="false"/>
          <w:color w:val="0A0808"/>
          <w:sz w:val="20"/>
        </w:rPr>
      </w:pPr>
      <w:r>
        <w:rPr>
          <w:rFonts w:ascii="Times New Roman;Times;Serif" w:hAnsi="Times New Roman;Times;Serif"/>
          <w:b/>
          <w:i w:val="false"/>
          <w:caps w:val="false"/>
          <w:smallCaps w:val="false"/>
          <w:color w:val="0A0808"/>
          <w:sz w:val="20"/>
        </w:rPr>
        <w:t>12.0% SERIES A CUMULATIVE CONVERTIBLE PREFERRED STOCK</w:t>
      </w:r>
    </w:p>
    <w:p>
      <w:pPr>
        <w:pStyle w:val="TextBody"/>
        <w:bidi w:val="0"/>
        <w:spacing w:before="0" w:after="0"/>
        <w:jc w:val="center"/>
        <w:rPr>
          <w:rFonts w:ascii="Times New Roman;Times;Serif" w:hAnsi="Times New Roman;Times;Serif"/>
          <w:b w:val="false"/>
          <w:i w:val="false"/>
          <w:caps w:val="false"/>
          <w:smallCaps w:val="false"/>
          <w:color w:val="0A0808"/>
          <w:sz w:val="20"/>
        </w:rPr>
      </w:pPr>
      <w:r>
        <w:rPr>
          <w:rFonts w:ascii="Times New Roman;Times;Serif" w:hAnsi="Times New Roman;Times;Serif"/>
          <w:b w:val="false"/>
          <w:i w:val="false"/>
          <w:caps w:val="false"/>
          <w:smallCaps w:val="false"/>
          <w:color w:val="0A0808"/>
          <w:sz w:val="20"/>
        </w:rPr>
        <w:t xml:space="preserve">PURSUANT TO SECTION 151(g) OF THE </w:t>
        <w:br/>
        <w:t>DELAWARE GENERAL CORPORATION LAW</w:t>
      </w:r>
    </w:p>
    <w:p>
      <w:pPr>
        <w:pStyle w:val="TextBody"/>
        <w:bidi w:val="0"/>
        <w:spacing w:before="0" w:after="0"/>
        <w:ind w:left="1437" w:right="0" w:hanging="0"/>
        <w:jc w:val="left"/>
        <w:rPr>
          <w:caps w:val="false"/>
          <w:smallCaps w:val="false"/>
          <w:color w:val="0A0808"/>
        </w:rPr>
      </w:pPr>
      <w:r>
        <w:rPr>
          <w:caps w:val="false"/>
          <w:smallCaps w:val="false"/>
          <w:color w:val="0A0808"/>
        </w:rPr>
        <w:t> </w:t>
      </w:r>
    </w:p>
    <w:p>
      <w:pPr>
        <w:pStyle w:val="TextBody"/>
        <w:bidi w:val="0"/>
        <w:spacing w:before="0" w:after="0"/>
        <w:ind w:left="1437" w:right="0" w:hanging="0"/>
        <w:jc w:val="left"/>
        <w:rPr>
          <w:rFonts w:ascii="Times New Roman;Times;Serif" w:hAnsi="Times New Roman;Times;Serif"/>
          <w:b w:val="false"/>
          <w:i w:val="false"/>
          <w:caps w:val="false"/>
          <w:smallCaps w:val="false"/>
          <w:color w:val="0A0808"/>
          <w:sz w:val="20"/>
        </w:rPr>
      </w:pPr>
      <w:r>
        <w:rPr>
          <w:rFonts w:ascii="Times New Roman;Times;Serif" w:hAnsi="Times New Roman;Times;Serif"/>
          <w:b w:val="false"/>
          <w:i w:val="false"/>
          <w:caps w:val="false"/>
          <w:smallCaps w:val="false"/>
          <w:color w:val="0A0808"/>
          <w:sz w:val="20"/>
        </w:rPr>
        <w:t>The undersigned, Michael Blitzer, does hereby certify that:</w:t>
      </w:r>
    </w:p>
    <w:p>
      <w:pPr>
        <w:pStyle w:val="TextBody"/>
        <w:bidi w:val="0"/>
        <w:spacing w:before="0" w:after="0"/>
        <w:ind w:left="720" w:right="0" w:firstLine="1447"/>
        <w:jc w:val="left"/>
        <w:rPr>
          <w:caps w:val="false"/>
          <w:smallCaps w:val="false"/>
          <w:color w:val="0A0808"/>
        </w:rPr>
      </w:pPr>
      <w:r>
        <w:rPr>
          <w:caps w:val="false"/>
          <w:smallCaps w:val="false"/>
          <w:color w:val="0A0808"/>
        </w:rPr>
        <w:t> </w:t>
      </w:r>
    </w:p>
    <w:p>
      <w:pPr>
        <w:pStyle w:val="TextBody"/>
        <w:bidi w:val="0"/>
        <w:spacing w:before="0" w:after="0"/>
        <w:ind w:left="720" w:right="0" w:firstLine="144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808"/>
          <w:sz w:val="20"/>
        </w:rPr>
        <w:t>1. He is the Chief Executive Officer of Merlin, Inc</w:t>
      </w:r>
      <w:r>
        <w:rPr>
          <w:rFonts w:ascii="Times New Roman;Times;Serif" w:hAnsi="Times New Roman;Times;Serif"/>
          <w:b w:val="false"/>
          <w:i w:val="false"/>
          <w:caps w:val="false"/>
          <w:smallCaps w:val="false"/>
          <w:color w:val="423A3D"/>
          <w:sz w:val="20"/>
        </w:rPr>
        <w:t>.</w:t>
      </w:r>
      <w:r>
        <w:rPr>
          <w:rFonts w:ascii="Times New Roman;Times;Serif" w:hAnsi="Times New Roman;Times;Serif"/>
          <w:b w:val="false"/>
          <w:i w:val="false"/>
          <w:caps w:val="false"/>
          <w:smallCaps w:val="false"/>
          <w:color w:val="1A181A"/>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808"/>
          <w:sz w:val="20"/>
        </w:rPr>
        <w:t>a Delaware corporation (the “</w:t>
      </w:r>
      <w:r>
        <w:rPr>
          <w:rFonts w:ascii="Times New Roman;Times;Serif" w:hAnsi="Times New Roman;Times;Serif"/>
          <w:b/>
          <w:i w:val="false"/>
          <w:caps w:val="false"/>
          <w:smallCaps w:val="false"/>
          <w:color w:val="0A0808"/>
          <w:sz w:val="20"/>
        </w:rPr>
        <w:t>Corporation”).</w:t>
      </w:r>
    </w:p>
    <w:p>
      <w:pPr>
        <w:pStyle w:val="TextBody"/>
        <w:bidi w:val="0"/>
        <w:spacing w:before="0" w:after="0"/>
        <w:ind w:left="711" w:right="0" w:firstLine="1450"/>
        <w:jc w:val="left"/>
        <w:rPr>
          <w:caps w:val="false"/>
          <w:smallCaps w:val="false"/>
          <w:color w:val="0A0808"/>
        </w:rPr>
      </w:pPr>
      <w:r>
        <w:rPr>
          <w:caps w:val="false"/>
          <w:smallCaps w:val="false"/>
          <w:color w:val="0A0808"/>
        </w:rPr>
        <w:t> </w:t>
      </w:r>
    </w:p>
    <w:p>
      <w:pPr>
        <w:pStyle w:val="TextBody"/>
        <w:bidi w:val="0"/>
        <w:spacing w:before="0" w:after="0"/>
        <w:ind w:left="711" w:right="0" w:firstLine="1450"/>
        <w:jc w:val="both"/>
        <w:rPr>
          <w:rFonts w:ascii="Times New Roman;Times;Serif" w:hAnsi="Times New Roman;Times;Serif"/>
          <w:b w:val="false"/>
          <w:i w:val="false"/>
          <w:caps w:val="false"/>
          <w:smallCaps w:val="false"/>
          <w:color w:val="0A0808"/>
          <w:sz w:val="20"/>
        </w:rPr>
      </w:pPr>
      <w:r>
        <w:rPr>
          <w:rFonts w:ascii="Times New Roman;Times;Serif" w:hAnsi="Times New Roman;Times;Serif"/>
          <w:b w:val="false"/>
          <w:i w:val="false"/>
          <w:caps w:val="false"/>
          <w:smallCaps w:val="false"/>
          <w:color w:val="0A0808"/>
          <w:sz w:val="20"/>
        </w:rPr>
        <w:t>2. The Corporation is authorized to issue 50,000,000 shares of preferred stock, none of which have been issued.</w:t>
      </w:r>
    </w:p>
    <w:p>
      <w:pPr>
        <w:pStyle w:val="TextBody"/>
        <w:bidi w:val="0"/>
        <w:spacing w:before="0" w:after="0"/>
        <w:ind w:left="720" w:right="0" w:firstLine="1436"/>
        <w:jc w:val="left"/>
        <w:rPr>
          <w:caps w:val="false"/>
          <w:smallCaps w:val="false"/>
          <w:color w:val="0A0808"/>
        </w:rPr>
      </w:pPr>
      <w:r>
        <w:rPr>
          <w:caps w:val="false"/>
          <w:smallCaps w:val="false"/>
          <w:color w:val="0A0808"/>
        </w:rPr>
        <w:t> </w:t>
      </w:r>
    </w:p>
    <w:p>
      <w:pPr>
        <w:pStyle w:val="TextBody"/>
        <w:bidi w:val="0"/>
        <w:spacing w:before="0" w:after="0"/>
        <w:ind w:left="720" w:right="0" w:firstLine="14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808"/>
          <w:sz w:val="20"/>
        </w:rPr>
        <w:t xml:space="preserve">3. The following resolutions were duly adopted by the board of directors of the Corporation (the </w:t>
      </w:r>
      <w:r>
        <w:rPr>
          <w:rFonts w:ascii="Times New Roman;Times;Serif" w:hAnsi="Times New Roman;Times;Serif"/>
          <w:b w:val="false"/>
          <w:i w:val="false"/>
          <w:caps w:val="false"/>
          <w:smallCaps w:val="false"/>
          <w:color w:val="1A181A"/>
          <w:sz w:val="20"/>
        </w:rPr>
        <w:t>“</w:t>
      </w:r>
      <w:r>
        <w:rPr>
          <w:rFonts w:ascii="Times New Roman;Times;Serif" w:hAnsi="Times New Roman;Times;Serif"/>
          <w:b/>
          <w:i w:val="false"/>
          <w:caps w:val="false"/>
          <w:smallCaps w:val="false"/>
          <w:color w:val="1A181A"/>
          <w:sz w:val="20"/>
        </w:rPr>
        <w:t xml:space="preserve">Board </w:t>
      </w:r>
      <w:r>
        <w:rPr>
          <w:rFonts w:ascii="Times New Roman;Times;Serif" w:hAnsi="Times New Roman;Times;Serif"/>
          <w:b/>
          <w:i w:val="false"/>
          <w:caps w:val="false"/>
          <w:smallCaps w:val="false"/>
          <w:color w:val="0A0808"/>
          <w:sz w:val="20"/>
        </w:rPr>
        <w:t>of Directors”):</w:t>
      </w:r>
    </w:p>
    <w:p>
      <w:pPr>
        <w:pStyle w:val="TextBody"/>
        <w:bidi w:val="0"/>
        <w:spacing w:before="0" w:after="0"/>
        <w:ind w:left="714" w:right="0" w:firstLine="726"/>
        <w:jc w:val="both"/>
        <w:rPr>
          <w:caps w:val="false"/>
          <w:smallCaps w:val="false"/>
          <w:color w:val="0A0808"/>
        </w:rPr>
      </w:pPr>
      <w:r>
        <w:rPr>
          <w:caps w:val="false"/>
          <w:smallCaps w:val="false"/>
          <w:color w:val="0A0808"/>
        </w:rPr>
        <w:t> </w:t>
      </w:r>
    </w:p>
    <w:p>
      <w:pPr>
        <w:pStyle w:val="TextBody"/>
        <w:bidi w:val="0"/>
        <w:spacing w:before="0" w:after="0"/>
        <w:ind w:left="714" w:right="0"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808"/>
          <w:sz w:val="20"/>
        </w:rPr>
        <w:t xml:space="preserve">WHEREAS, the certificate of incorporation of the Corporation provides for a class of its authorized stock known as preferred stock, consisting of 50,000,000 shares, </w:t>
      </w:r>
      <w:r>
        <w:rPr>
          <w:rFonts w:ascii="Times New Roman;Times;Serif" w:hAnsi="Times New Roman;Times;Serif"/>
          <w:b w:val="false"/>
          <w:i w:val="false"/>
          <w:caps w:val="false"/>
          <w:smallCaps w:val="false"/>
          <w:color w:val="1A181A"/>
          <w:sz w:val="20"/>
        </w:rPr>
        <w:t xml:space="preserve">$0.0001 </w:t>
      </w:r>
      <w:r>
        <w:rPr>
          <w:rFonts w:ascii="Times New Roman;Times;Serif" w:hAnsi="Times New Roman;Times;Serif"/>
          <w:b w:val="false"/>
          <w:i w:val="false"/>
          <w:caps w:val="false"/>
          <w:smallCaps w:val="false"/>
          <w:color w:val="0A0808"/>
          <w:sz w:val="20"/>
        </w:rPr>
        <w:t xml:space="preserve">par </w:t>
      </w:r>
      <w:r>
        <w:rPr>
          <w:rFonts w:ascii="Times New Roman;Times;Serif" w:hAnsi="Times New Roman;Times;Serif"/>
          <w:b w:val="false"/>
          <w:i w:val="false"/>
          <w:caps w:val="false"/>
          <w:smallCaps w:val="false"/>
          <w:color w:val="1A181A"/>
          <w:sz w:val="20"/>
        </w:rPr>
        <w:t xml:space="preserve">value </w:t>
      </w:r>
      <w:r>
        <w:rPr>
          <w:rFonts w:ascii="Times New Roman;Times;Serif" w:hAnsi="Times New Roman;Times;Serif"/>
          <w:b w:val="false"/>
          <w:i w:val="false"/>
          <w:caps w:val="false"/>
          <w:smallCaps w:val="false"/>
          <w:color w:val="0A0808"/>
          <w:sz w:val="20"/>
        </w:rPr>
        <w:t>per share, issuable from time to time in one or more series;</w:t>
      </w:r>
    </w:p>
    <w:p>
      <w:pPr>
        <w:pStyle w:val="TextBody"/>
        <w:bidi w:val="0"/>
        <w:spacing w:before="0" w:after="0"/>
        <w:ind w:left="714" w:right="0" w:firstLine="726"/>
        <w:jc w:val="both"/>
        <w:rPr>
          <w:caps w:val="false"/>
          <w:smallCaps w:val="false"/>
          <w:color w:val="0A0808"/>
        </w:rPr>
      </w:pPr>
      <w:r>
        <w:rPr>
          <w:caps w:val="false"/>
          <w:smallCaps w:val="false"/>
          <w:color w:val="0A0808"/>
        </w:rPr>
        <w:t> </w:t>
      </w:r>
    </w:p>
    <w:p>
      <w:pPr>
        <w:pStyle w:val="TextBody"/>
        <w:bidi w:val="0"/>
        <w:spacing w:before="0" w:after="0"/>
        <w:ind w:left="714" w:right="0"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808"/>
          <w:sz w:val="20"/>
        </w:rPr>
        <w:t>WHEREAS, the Board of Directors 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A181A"/>
          <w:sz w:val="20"/>
        </w:rPr>
        <w:t xml:space="preserve">authorized </w:t>
      </w:r>
      <w:r>
        <w:rPr>
          <w:rFonts w:ascii="Times New Roman;Times;Serif" w:hAnsi="Times New Roman;Times;Serif"/>
          <w:b w:val="false"/>
          <w:i w:val="false"/>
          <w:caps w:val="false"/>
          <w:smallCaps w:val="false"/>
          <w:color w:val="0A0808"/>
          <w:sz w:val="20"/>
        </w:rPr>
        <w:t xml:space="preserve">to fix the dividend rights, dividend rate, voting rights, conversion rights, rights and terms of redemption and liquidation preferences of any wholly unissued </w:t>
      </w:r>
      <w:r>
        <w:rPr>
          <w:rFonts w:ascii="Times New Roman;Times;Serif" w:hAnsi="Times New Roman;Times;Serif"/>
          <w:b w:val="false"/>
          <w:i w:val="false"/>
          <w:caps w:val="false"/>
          <w:smallCaps w:val="false"/>
          <w:color w:val="1A181A"/>
          <w:sz w:val="20"/>
        </w:rPr>
        <w:t xml:space="preserve">series </w:t>
      </w:r>
      <w:r>
        <w:rPr>
          <w:rFonts w:ascii="Times New Roman;Times;Serif" w:hAnsi="Times New Roman;Times;Serif"/>
          <w:b w:val="false"/>
          <w:i w:val="false"/>
          <w:caps w:val="false"/>
          <w:smallCaps w:val="false"/>
          <w:color w:val="0A0808"/>
          <w:sz w:val="20"/>
        </w:rPr>
        <w:t xml:space="preserve">of preferred stock and the number of shares constituting any </w:t>
      </w:r>
      <w:r>
        <w:rPr>
          <w:rFonts w:ascii="Times New Roman;Times;Serif" w:hAnsi="Times New Roman;Times;Serif"/>
          <w:b w:val="false"/>
          <w:i w:val="false"/>
          <w:caps w:val="false"/>
          <w:smallCaps w:val="false"/>
          <w:color w:val="1A181A"/>
          <w:sz w:val="20"/>
        </w:rPr>
        <w:t xml:space="preserve">series </w:t>
      </w:r>
      <w:r>
        <w:rPr>
          <w:rFonts w:ascii="Times New Roman;Times;Serif" w:hAnsi="Times New Roman;Times;Serif"/>
          <w:b w:val="false"/>
          <w:i w:val="false"/>
          <w:caps w:val="false"/>
          <w:smallCaps w:val="false"/>
          <w:color w:val="0A0808"/>
          <w:sz w:val="20"/>
        </w:rPr>
        <w:t xml:space="preserve">and the </w:t>
      </w:r>
      <w:r>
        <w:rPr>
          <w:rFonts w:ascii="Times New Roman;Times;Serif" w:hAnsi="Times New Roman;Times;Serif"/>
          <w:b w:val="false"/>
          <w:i w:val="false"/>
          <w:caps w:val="false"/>
          <w:smallCaps w:val="false"/>
          <w:color w:val="1A181A"/>
          <w:sz w:val="20"/>
        </w:rPr>
        <w:t xml:space="preserve">designation </w:t>
      </w:r>
      <w:r>
        <w:rPr>
          <w:rFonts w:ascii="Times New Roman;Times;Serif" w:hAnsi="Times New Roman;Times;Serif"/>
          <w:b w:val="false"/>
          <w:i w:val="false"/>
          <w:caps w:val="false"/>
          <w:smallCaps w:val="false"/>
          <w:color w:val="0A0808"/>
          <w:sz w:val="20"/>
        </w:rPr>
        <w:t>thereof, of any of them; and</w:t>
      </w:r>
    </w:p>
    <w:p>
      <w:pPr>
        <w:pStyle w:val="TextBody"/>
        <w:bidi w:val="0"/>
        <w:spacing w:before="0" w:after="0"/>
        <w:ind w:left="714" w:right="0" w:firstLine="727"/>
        <w:jc w:val="both"/>
        <w:rPr>
          <w:caps w:val="false"/>
          <w:smallCaps w:val="false"/>
          <w:color w:val="0A0808"/>
        </w:rPr>
      </w:pPr>
      <w:r>
        <w:rPr>
          <w:caps w:val="false"/>
          <w:smallCaps w:val="false"/>
          <w:color w:val="0A0808"/>
        </w:rPr>
        <w:t> </w:t>
      </w:r>
    </w:p>
    <w:p>
      <w:pPr>
        <w:pStyle w:val="TextBody"/>
        <w:bidi w:val="0"/>
        <w:spacing w:before="0" w:after="0"/>
        <w:ind w:left="714" w:right="0" w:firstLine="72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808"/>
          <w:sz w:val="20"/>
        </w:rPr>
        <w:t xml:space="preserve">WHEREAS, it is the desire of the Board of Directors, pursuant to its </w:t>
      </w:r>
      <w:r>
        <w:rPr>
          <w:rFonts w:ascii="Times New Roman;Times;Serif" w:hAnsi="Times New Roman;Times;Serif"/>
          <w:b w:val="false"/>
          <w:i w:val="false"/>
          <w:caps w:val="false"/>
          <w:smallCaps w:val="false"/>
          <w:color w:val="1A181A"/>
          <w:sz w:val="20"/>
        </w:rPr>
        <w:t xml:space="preserve">authority as aforesaid, </w:t>
      </w:r>
      <w:r>
        <w:rPr>
          <w:rFonts w:ascii="Times New Roman;Times;Serif" w:hAnsi="Times New Roman;Times;Serif"/>
          <w:b w:val="false"/>
          <w:i w:val="false"/>
          <w:caps w:val="false"/>
          <w:smallCaps w:val="false"/>
          <w:color w:val="0A0808"/>
          <w:sz w:val="20"/>
        </w:rPr>
        <w:t xml:space="preserve">to fix the rights, preferences, restrictions and other </w:t>
      </w:r>
      <w:r>
        <w:rPr>
          <w:rFonts w:ascii="Times New Roman;Times;Serif" w:hAnsi="Times New Roman;Times;Serif"/>
          <w:b w:val="false"/>
          <w:i w:val="false"/>
          <w:caps w:val="false"/>
          <w:smallCaps w:val="false"/>
          <w:color w:val="1A181A"/>
          <w:sz w:val="20"/>
        </w:rPr>
        <w:t xml:space="preserve">matters </w:t>
      </w:r>
      <w:r>
        <w:rPr>
          <w:rFonts w:ascii="Times New Roman;Times;Serif" w:hAnsi="Times New Roman;Times;Serif"/>
          <w:b w:val="false"/>
          <w:i w:val="false"/>
          <w:caps w:val="false"/>
          <w:smallCaps w:val="false"/>
          <w:color w:val="0A0808"/>
          <w:sz w:val="20"/>
        </w:rPr>
        <w:t xml:space="preserve">relating to </w:t>
      </w:r>
      <w:r>
        <w:rPr>
          <w:rFonts w:ascii="Times New Roman;Times;Serif" w:hAnsi="Times New Roman;Times;Serif"/>
          <w:b w:val="false"/>
          <w:i w:val="false"/>
          <w:caps w:val="false"/>
          <w:smallCaps w:val="false"/>
          <w:color w:val="1A181A"/>
          <w:sz w:val="20"/>
        </w:rPr>
        <w:t xml:space="preserve">a series </w:t>
      </w:r>
      <w:r>
        <w:rPr>
          <w:rFonts w:ascii="Times New Roman;Times;Serif" w:hAnsi="Times New Roman;Times;Serif"/>
          <w:b w:val="false"/>
          <w:i w:val="false"/>
          <w:caps w:val="false"/>
          <w:smallCaps w:val="false"/>
          <w:color w:val="0A0808"/>
          <w:sz w:val="20"/>
        </w:rPr>
        <w:t xml:space="preserve">of </w:t>
      </w:r>
      <w:r>
        <w:rPr>
          <w:rFonts w:ascii="Times New Roman;Times;Serif" w:hAnsi="Times New Roman;Times;Serif"/>
          <w:b w:val="false"/>
          <w:i w:val="false"/>
          <w:caps w:val="false"/>
          <w:smallCaps w:val="false"/>
          <w:color w:val="1A181A"/>
          <w:sz w:val="20"/>
        </w:rPr>
        <w:t xml:space="preserve">the </w:t>
      </w:r>
      <w:r>
        <w:rPr>
          <w:rFonts w:ascii="Times New Roman;Times;Serif" w:hAnsi="Times New Roman;Times;Serif"/>
          <w:b w:val="false"/>
          <w:i w:val="false"/>
          <w:caps w:val="false"/>
          <w:smallCaps w:val="false"/>
          <w:color w:val="0A0808"/>
          <w:sz w:val="20"/>
        </w:rPr>
        <w:t xml:space="preserve">preferred </w:t>
      </w:r>
      <w:r>
        <w:rPr>
          <w:rFonts w:ascii="Times New Roman;Times;Serif" w:hAnsi="Times New Roman;Times;Serif"/>
          <w:b w:val="false"/>
          <w:i w:val="false"/>
          <w:caps w:val="false"/>
          <w:smallCaps w:val="false"/>
          <w:color w:val="1A181A"/>
          <w:sz w:val="20"/>
        </w:rPr>
        <w:t xml:space="preserve">stock, </w:t>
      </w:r>
      <w:r>
        <w:rPr>
          <w:rFonts w:ascii="Times New Roman;Times;Serif" w:hAnsi="Times New Roman;Times;Serif"/>
          <w:b w:val="false"/>
          <w:i w:val="false"/>
          <w:caps w:val="false"/>
          <w:smallCaps w:val="false"/>
          <w:color w:val="0A0808"/>
          <w:sz w:val="20"/>
        </w:rPr>
        <w:t xml:space="preserve">which shall consist of up to </w:t>
      </w:r>
      <w:r>
        <w:rPr>
          <w:rFonts w:ascii="Times New Roman;Times;Serif" w:hAnsi="Times New Roman;Times;Serif"/>
          <w:b w:val="false"/>
          <w:i w:val="false"/>
          <w:caps w:val="false"/>
          <w:smallCaps w:val="false"/>
          <w:color w:val="1A181A"/>
          <w:sz w:val="20"/>
        </w:rPr>
        <w:t xml:space="preserve">26,000,000 </w:t>
      </w:r>
      <w:r>
        <w:rPr>
          <w:rFonts w:ascii="Times New Roman;Times;Serif" w:hAnsi="Times New Roman;Times;Serif"/>
          <w:b w:val="false"/>
          <w:i w:val="false"/>
          <w:caps w:val="false"/>
          <w:smallCaps w:val="false"/>
          <w:color w:val="0A0808"/>
          <w:sz w:val="20"/>
        </w:rPr>
        <w:t>shares of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A181A"/>
          <w:sz w:val="20"/>
        </w:rPr>
        <w:t xml:space="preserve">preferred stock </w:t>
      </w:r>
      <w:r>
        <w:rPr>
          <w:rFonts w:ascii="Times New Roman;Times;Serif" w:hAnsi="Times New Roman;Times;Serif"/>
          <w:b w:val="false"/>
          <w:i w:val="false"/>
          <w:caps w:val="false"/>
          <w:smallCaps w:val="false"/>
          <w:color w:val="0A0808"/>
          <w:sz w:val="20"/>
        </w:rPr>
        <w:t xml:space="preserve">which the </w:t>
      </w:r>
      <w:r>
        <w:rPr>
          <w:rFonts w:ascii="Times New Roman;Times;Serif" w:hAnsi="Times New Roman;Times;Serif"/>
          <w:b w:val="false"/>
          <w:i w:val="false"/>
          <w:caps w:val="false"/>
          <w:smallCaps w:val="false"/>
          <w:color w:val="1A181A"/>
          <w:sz w:val="20"/>
        </w:rPr>
        <w:t>Corporation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808"/>
          <w:sz w:val="20"/>
        </w:rPr>
        <w:t xml:space="preserve">has the </w:t>
      </w:r>
      <w:r>
        <w:rPr>
          <w:rFonts w:ascii="Times New Roman;Times;Serif" w:hAnsi="Times New Roman;Times;Serif"/>
          <w:b w:val="false"/>
          <w:i w:val="false"/>
          <w:caps w:val="false"/>
          <w:smallCaps w:val="false"/>
          <w:color w:val="1A181A"/>
          <w:sz w:val="20"/>
        </w:rPr>
        <w:t xml:space="preserve">authority </w:t>
      </w:r>
      <w:r>
        <w:rPr>
          <w:rFonts w:ascii="Times New Roman;Times;Serif" w:hAnsi="Times New Roman;Times;Serif"/>
          <w:b w:val="false"/>
          <w:i w:val="false"/>
          <w:caps w:val="false"/>
          <w:smallCaps w:val="false"/>
          <w:color w:val="0A0808"/>
          <w:sz w:val="20"/>
        </w:rPr>
        <w:t>to issue, as follows:</w:t>
      </w:r>
    </w:p>
    <w:p>
      <w:pPr>
        <w:pStyle w:val="TextBody"/>
        <w:bidi w:val="0"/>
        <w:spacing w:before="0" w:after="0"/>
        <w:ind w:left="714" w:right="0" w:firstLine="718"/>
        <w:jc w:val="both"/>
        <w:rPr>
          <w:caps w:val="false"/>
          <w:smallCaps w:val="false"/>
          <w:color w:val="0A0808"/>
        </w:rPr>
      </w:pPr>
      <w:r>
        <w:rPr>
          <w:caps w:val="false"/>
          <w:smallCaps w:val="false"/>
          <w:color w:val="0A0808"/>
        </w:rPr>
        <w:t> </w:t>
      </w:r>
    </w:p>
    <w:p>
      <w:pPr>
        <w:pStyle w:val="TextBody"/>
        <w:bidi w:val="0"/>
        <w:spacing w:before="0" w:after="0"/>
        <w:ind w:left="714"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808"/>
          <w:sz w:val="20"/>
        </w:rPr>
        <w:t xml:space="preserve">NOW, THEREFORE, BE IT RESOLVED, that the Board of Directors </w:t>
      </w:r>
      <w:r>
        <w:rPr>
          <w:rFonts w:ascii="Times New Roman;Times;Serif" w:hAnsi="Times New Roman;Times;Serif"/>
          <w:b w:val="false"/>
          <w:i w:val="false"/>
          <w:caps w:val="false"/>
          <w:smallCaps w:val="false"/>
          <w:color w:val="1A181A"/>
          <w:sz w:val="20"/>
        </w:rPr>
        <w:t xml:space="preserve">does </w:t>
      </w:r>
      <w:r>
        <w:rPr>
          <w:rFonts w:ascii="Times New Roman;Times;Serif" w:hAnsi="Times New Roman;Times;Serif"/>
          <w:b w:val="false"/>
          <w:i w:val="false"/>
          <w:caps w:val="false"/>
          <w:smallCaps w:val="false"/>
          <w:color w:val="0A0808"/>
          <w:sz w:val="20"/>
        </w:rPr>
        <w:t xml:space="preserve">hereby provide </w:t>
      </w:r>
      <w:r>
        <w:rPr>
          <w:rFonts w:ascii="Times New Roman;Times;Serif" w:hAnsi="Times New Roman;Times;Serif"/>
          <w:b w:val="false"/>
          <w:i w:val="false"/>
          <w:caps w:val="false"/>
          <w:smallCaps w:val="false"/>
          <w:color w:val="1A181A"/>
          <w:sz w:val="20"/>
        </w:rPr>
        <w:t xml:space="preserve">for </w:t>
      </w:r>
      <w:r>
        <w:rPr>
          <w:rFonts w:ascii="Times New Roman;Times;Serif" w:hAnsi="Times New Roman;Times;Serif"/>
          <w:b w:val="false"/>
          <w:i w:val="false"/>
          <w:caps w:val="false"/>
          <w:smallCaps w:val="false"/>
          <w:color w:val="0A0808"/>
          <w:sz w:val="20"/>
        </w:rPr>
        <w:t xml:space="preserve">the </w:t>
      </w:r>
      <w:r>
        <w:rPr>
          <w:rFonts w:ascii="Times New Roman;Times;Serif" w:hAnsi="Times New Roman;Times;Serif"/>
          <w:b w:val="false"/>
          <w:i w:val="false"/>
          <w:caps w:val="false"/>
          <w:smallCaps w:val="false"/>
          <w:color w:val="1A181A"/>
          <w:sz w:val="20"/>
        </w:rPr>
        <w:t xml:space="preserve">issuance </w:t>
      </w:r>
      <w:r>
        <w:rPr>
          <w:rFonts w:ascii="Times New Roman;Times;Serif" w:hAnsi="Times New Roman;Times;Serif"/>
          <w:b w:val="false"/>
          <w:i w:val="false"/>
          <w:caps w:val="false"/>
          <w:smallCaps w:val="false"/>
          <w:color w:val="0A0808"/>
          <w:sz w:val="20"/>
        </w:rPr>
        <w:t xml:space="preserve">of </w:t>
      </w:r>
      <w:r>
        <w:rPr>
          <w:rFonts w:ascii="Times New Roman;Times;Serif" w:hAnsi="Times New Roman;Times;Serif"/>
          <w:b w:val="false"/>
          <w:i w:val="false"/>
          <w:caps w:val="false"/>
          <w:smallCaps w:val="false"/>
          <w:color w:val="1A181A"/>
          <w:sz w:val="20"/>
        </w:rPr>
        <w:t xml:space="preserve">a </w:t>
      </w:r>
      <w:r>
        <w:rPr>
          <w:rFonts w:ascii="Times New Roman;Times;Serif" w:hAnsi="Times New Roman;Times;Serif"/>
          <w:b w:val="false"/>
          <w:i w:val="false"/>
          <w:caps w:val="false"/>
          <w:smallCaps w:val="false"/>
          <w:color w:val="0A0808"/>
          <w:sz w:val="20"/>
        </w:rPr>
        <w:t xml:space="preserve">series of preferred stock </w:t>
      </w:r>
      <w:r>
        <w:rPr>
          <w:rFonts w:ascii="Times New Roman;Times;Serif" w:hAnsi="Times New Roman;Times;Serif"/>
          <w:b w:val="false"/>
          <w:i w:val="false"/>
          <w:caps w:val="false"/>
          <w:smallCaps w:val="false"/>
          <w:color w:val="1A181A"/>
          <w:sz w:val="20"/>
        </w:rPr>
        <w:t xml:space="preserve">for </w:t>
      </w:r>
      <w:r>
        <w:rPr>
          <w:rFonts w:ascii="Times New Roman;Times;Serif" w:hAnsi="Times New Roman;Times;Serif"/>
          <w:b w:val="false"/>
          <w:i w:val="false"/>
          <w:caps w:val="false"/>
          <w:smallCaps w:val="false"/>
          <w:color w:val="0A0808"/>
          <w:sz w:val="20"/>
        </w:rPr>
        <w:t xml:space="preserve">cash </w:t>
      </w:r>
      <w:r>
        <w:rPr>
          <w:rFonts w:ascii="Times New Roman;Times;Serif" w:hAnsi="Times New Roman;Times;Serif"/>
          <w:b w:val="false"/>
          <w:i w:val="false"/>
          <w:caps w:val="false"/>
          <w:smallCaps w:val="false"/>
          <w:color w:val="1A181A"/>
          <w:sz w:val="20"/>
        </w:rPr>
        <w:t xml:space="preserve">or </w:t>
      </w:r>
      <w:r>
        <w:rPr>
          <w:rFonts w:ascii="Times New Roman;Times;Serif" w:hAnsi="Times New Roman;Times;Serif"/>
          <w:b w:val="false"/>
          <w:i w:val="false"/>
          <w:caps w:val="false"/>
          <w:smallCaps w:val="false"/>
          <w:color w:val="0A0808"/>
          <w:sz w:val="20"/>
        </w:rPr>
        <w:t xml:space="preserve">exchange of other </w:t>
      </w:r>
      <w:r>
        <w:rPr>
          <w:rFonts w:ascii="Times New Roman;Times;Serif" w:hAnsi="Times New Roman;Times;Serif"/>
          <w:b w:val="false"/>
          <w:i w:val="false"/>
          <w:caps w:val="false"/>
          <w:smallCaps w:val="false"/>
          <w:color w:val="1A181A"/>
          <w:sz w:val="20"/>
        </w:rPr>
        <w:t xml:space="preserve">securities, rights </w:t>
      </w:r>
      <w:r>
        <w:rPr>
          <w:rFonts w:ascii="Times New Roman;Times;Serif" w:hAnsi="Times New Roman;Times;Serif"/>
          <w:b w:val="false"/>
          <w:i w:val="false"/>
          <w:caps w:val="false"/>
          <w:smallCaps w:val="false"/>
          <w:color w:val="0A0808"/>
          <w:sz w:val="20"/>
        </w:rPr>
        <w:t xml:space="preserve">or property and does hereby </w:t>
      </w:r>
      <w:r>
        <w:rPr>
          <w:rFonts w:ascii="Times New Roman;Times;Serif" w:hAnsi="Times New Roman;Times;Serif"/>
          <w:b w:val="false"/>
          <w:i w:val="false"/>
          <w:caps w:val="false"/>
          <w:smallCaps w:val="false"/>
          <w:color w:val="1A181A"/>
          <w:sz w:val="20"/>
        </w:rPr>
        <w:t xml:space="preserve">fix </w:t>
      </w:r>
      <w:r>
        <w:rPr>
          <w:rFonts w:ascii="Times New Roman;Times;Serif" w:hAnsi="Times New Roman;Times;Serif"/>
          <w:b w:val="false"/>
          <w:i w:val="false"/>
          <w:caps w:val="false"/>
          <w:smallCaps w:val="false"/>
          <w:color w:val="0A0808"/>
          <w:sz w:val="20"/>
        </w:rPr>
        <w:t xml:space="preserve">and determine the </w:t>
      </w:r>
      <w:r>
        <w:rPr>
          <w:rFonts w:ascii="Times New Roman;Times;Serif" w:hAnsi="Times New Roman;Times;Serif"/>
          <w:b w:val="false"/>
          <w:i w:val="false"/>
          <w:caps w:val="false"/>
          <w:smallCaps w:val="false"/>
          <w:color w:val="1A181A"/>
          <w:sz w:val="20"/>
        </w:rPr>
        <w:t xml:space="preserve">rights, </w:t>
      </w:r>
      <w:r>
        <w:rPr>
          <w:rFonts w:ascii="Times New Roman;Times;Serif" w:hAnsi="Times New Roman;Times;Serif"/>
          <w:b w:val="false"/>
          <w:i w:val="false"/>
          <w:caps w:val="false"/>
          <w:smallCaps w:val="false"/>
          <w:color w:val="0A0808"/>
          <w:sz w:val="20"/>
        </w:rPr>
        <w:t xml:space="preserve">preferences, </w:t>
      </w:r>
      <w:r>
        <w:rPr>
          <w:rFonts w:ascii="Times New Roman;Times;Serif" w:hAnsi="Times New Roman;Times;Serif"/>
          <w:b w:val="false"/>
          <w:i w:val="false"/>
          <w:caps w:val="false"/>
          <w:smallCaps w:val="false"/>
          <w:color w:val="1A181A"/>
          <w:sz w:val="20"/>
        </w:rPr>
        <w:t xml:space="preserve">restrictions and other matters relating to such </w:t>
      </w:r>
      <w:r>
        <w:rPr>
          <w:rFonts w:ascii="Times New Roman;Times;Serif" w:hAnsi="Times New Roman;Times;Serif"/>
          <w:b w:val="false"/>
          <w:i w:val="false"/>
          <w:caps w:val="false"/>
          <w:smallCaps w:val="false"/>
          <w:color w:val="0A0808"/>
          <w:sz w:val="20"/>
        </w:rPr>
        <w:t xml:space="preserve">series </w:t>
      </w:r>
      <w:r>
        <w:rPr>
          <w:rFonts w:ascii="Times New Roman;Times;Serif" w:hAnsi="Times New Roman;Times;Serif"/>
          <w:b w:val="false"/>
          <w:i w:val="false"/>
          <w:caps w:val="false"/>
          <w:smallCaps w:val="false"/>
          <w:color w:val="1A181A"/>
          <w:sz w:val="20"/>
        </w:rPr>
        <w:t xml:space="preserve">of </w:t>
      </w:r>
      <w:r>
        <w:rPr>
          <w:rFonts w:ascii="Times New Roman;Times;Serif" w:hAnsi="Times New Roman;Times;Serif"/>
          <w:b w:val="false"/>
          <w:i w:val="false"/>
          <w:caps w:val="false"/>
          <w:smallCaps w:val="false"/>
          <w:color w:val="0A0808"/>
          <w:sz w:val="20"/>
        </w:rPr>
        <w:t xml:space="preserve">preferred </w:t>
      </w:r>
      <w:r>
        <w:rPr>
          <w:rFonts w:ascii="Times New Roman;Times;Serif" w:hAnsi="Times New Roman;Times;Serif"/>
          <w:b w:val="false"/>
          <w:i w:val="false"/>
          <w:caps w:val="false"/>
          <w:smallCaps w:val="false"/>
          <w:color w:val="1A181A"/>
          <w:sz w:val="20"/>
        </w:rPr>
        <w:t>stock as follows:</w:t>
      </w:r>
    </w:p>
    <w:p>
      <w:pPr>
        <w:pStyle w:val="TextBody"/>
        <w:bidi w:val="0"/>
        <w:spacing w:before="0" w:after="0"/>
        <w:ind w:left="378" w:right="0" w:hanging="0"/>
        <w:jc w:val="center"/>
        <w:rPr>
          <w:caps w:val="false"/>
          <w:smallCaps w:val="false"/>
          <w:color w:val="0A0808"/>
        </w:rPr>
      </w:pPr>
      <w:r>
        <w:rPr>
          <w:caps w:val="false"/>
          <w:smallCaps w:val="false"/>
          <w:color w:val="0A0808"/>
        </w:rPr>
        <w:t> </w:t>
      </w:r>
    </w:p>
    <w:p>
      <w:pPr>
        <w:pStyle w:val="TextBody"/>
        <w:bidi w:val="0"/>
        <w:spacing w:before="0" w:after="0"/>
        <w:ind w:left="0" w:right="0" w:hanging="0"/>
        <w:jc w:val="left"/>
        <w:rPr>
          <w:rFonts w:ascii="Times New Roman;Times;Serif" w:hAnsi="Times New Roman;Times;Serif"/>
          <w:b/>
          <w:i w:val="false"/>
          <w:caps w:val="false"/>
          <w:smallCaps w:val="false"/>
          <w:color w:val="0A0808"/>
          <w:sz w:val="20"/>
        </w:rPr>
      </w:pPr>
      <w:r>
        <w:rPr>
          <w:rFonts w:ascii="Times New Roman;Times;Serif" w:hAnsi="Times New Roman;Times;Serif"/>
          <w:b/>
          <w:i w:val="false"/>
          <w:caps w:val="false"/>
          <w:smallCaps w:val="false"/>
          <w:color w:val="0A0808"/>
          <w:sz w:val="20"/>
        </w:rPr>
        <w:t>TERMS OF 12.0% SERIES A CUMULATIVE CONVERTIBLE PREFERRED STOCK</w:t>
      </w:r>
    </w:p>
    <w:p>
      <w:pPr>
        <w:pStyle w:val="TextBody"/>
        <w:bidi w:val="0"/>
        <w:spacing w:before="0" w:after="0"/>
        <w:ind w:left="721" w:right="0" w:firstLine="1444"/>
        <w:jc w:val="left"/>
        <w:rPr>
          <w:caps w:val="false"/>
          <w:smallCaps w:val="false"/>
          <w:color w:val="0A0808"/>
        </w:rPr>
      </w:pPr>
      <w:r>
        <w:rPr>
          <w:caps w:val="false"/>
          <w:smallCaps w:val="false"/>
          <w:color w:val="0A0808"/>
        </w:rPr>
        <w:t> </w:t>
      </w:r>
    </w:p>
    <w:p>
      <w:pPr>
        <w:pStyle w:val="TextBody"/>
        <w:bidi w:val="0"/>
        <w:spacing w:before="0" w:after="0"/>
        <w:ind w:left="721" w:right="0" w:firstLine="14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808"/>
          <w:sz w:val="20"/>
        </w:rPr>
        <w:t xml:space="preserve">Section 1. </w:t>
      </w:r>
      <w:r>
        <w:rPr>
          <w:rFonts w:ascii="Times New Roman;Times;Serif" w:hAnsi="Times New Roman;Times;Serif"/>
          <w:b w:val="false"/>
          <w:i w:val="false"/>
          <w:caps w:val="false"/>
          <w:smallCaps w:val="false"/>
          <w:color w:val="1A181A"/>
          <w:sz w:val="20"/>
          <w:u w:val="single"/>
        </w:rPr>
        <w:t>Definitions.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A181A"/>
          <w:sz w:val="20"/>
        </w:rPr>
        <w:t>For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808"/>
          <w:sz w:val="20"/>
        </w:rPr>
        <w:t>purposes hereof</w:t>
      </w:r>
      <w:r>
        <w:rPr>
          <w:rFonts w:ascii="Times New Roman;Times;Serif" w:hAnsi="Times New Roman;Times;Serif"/>
          <w:b w:val="false"/>
          <w:i w:val="false"/>
          <w:caps w:val="false"/>
          <w:smallCaps w:val="false"/>
          <w:color w:val="2B2836"/>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A181A"/>
          <w:sz w:val="20"/>
        </w:rPr>
        <w:t>the following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808"/>
          <w:sz w:val="20"/>
        </w:rPr>
        <w:t xml:space="preserve">terms shall have the </w:t>
      </w:r>
      <w:r>
        <w:rPr>
          <w:rFonts w:ascii="Times New Roman;Times;Serif" w:hAnsi="Times New Roman;Times;Serif"/>
          <w:b w:val="false"/>
          <w:i w:val="false"/>
          <w:caps w:val="false"/>
          <w:smallCaps w:val="false"/>
          <w:color w:val="1A181A"/>
          <w:sz w:val="20"/>
        </w:rPr>
        <w:t>following meanings:</w:t>
      </w:r>
    </w:p>
    <w:p>
      <w:pPr>
        <w:pStyle w:val="TextBody"/>
        <w:bidi w:val="0"/>
        <w:spacing w:before="0" w:after="0"/>
        <w:ind w:left="2147" w:right="0" w:hanging="0"/>
        <w:jc w:val="left"/>
        <w:rPr>
          <w:caps w:val="false"/>
          <w:smallCaps w:val="false"/>
          <w:color w:val="0A0808"/>
        </w:rPr>
      </w:pPr>
      <w:r>
        <w:rPr>
          <w:caps w:val="false"/>
          <w:smallCaps w:val="false"/>
          <w:color w:val="0A0808"/>
        </w:rPr>
        <w:t> </w:t>
      </w:r>
    </w:p>
    <w:p>
      <w:pPr>
        <w:pStyle w:val="TextBody"/>
        <w:bidi w:val="0"/>
        <w:spacing w:before="0" w:after="0"/>
        <w:ind w:left="2147" w:right="0" w:hanging="0"/>
        <w:jc w:val="left"/>
        <w:rPr>
          <w:caps w:val="false"/>
          <w:smallCaps w:val="false"/>
        </w:rPr>
      </w:pPr>
      <w:r>
        <w:rPr>
          <w:caps w:val="false"/>
          <w:smallCaps w:val="false"/>
          <w:color w:val="0A0808"/>
        </w:rPr>
        <w:t>“</w:t>
      </w:r>
      <w:r>
        <w:rPr>
          <w:rFonts w:ascii="Times New Roman;Times;Serif" w:hAnsi="Times New Roman;Times;Serif"/>
          <w:b/>
          <w:i w:val="false"/>
          <w:caps w:val="false"/>
          <w:smallCaps w:val="false"/>
          <w:color w:val="0A0808"/>
          <w:sz w:val="20"/>
        </w:rPr>
        <w:t>Accrued Dividend”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A181A"/>
          <w:sz w:val="20"/>
        </w:rPr>
        <w:t>shall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808"/>
          <w:sz w:val="20"/>
        </w:rPr>
        <w:t>have the meaning set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A181A"/>
          <w:sz w:val="20"/>
        </w:rPr>
        <w:t>forth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808"/>
          <w:sz w:val="20"/>
        </w:rPr>
        <w:t xml:space="preserve">in </w:t>
      </w:r>
      <w:r>
        <w:rPr>
          <w:rFonts w:ascii="Times New Roman;Times;Serif" w:hAnsi="Times New Roman;Times;Serif"/>
          <w:b w:val="false"/>
          <w:i w:val="false"/>
          <w:caps w:val="false"/>
          <w:smallCaps w:val="false"/>
          <w:color w:val="1A181A"/>
          <w:sz w:val="20"/>
          <w:u w:val="single"/>
        </w:rPr>
        <w:t>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808"/>
          <w:sz w:val="20"/>
          <w:u w:val="single"/>
        </w:rPr>
        <w:t>3(a)</w:t>
      </w:r>
      <w:r>
        <w:rPr>
          <w:rFonts w:ascii="Times New Roman;Times;Serif" w:hAnsi="Times New Roman;Times;Serif"/>
          <w:b w:val="false"/>
          <w:i w:val="false"/>
          <w:caps w:val="false"/>
          <w:smallCaps w:val="false"/>
          <w:color w:val="0A0808"/>
          <w:sz w:val="20"/>
        </w:rPr>
        <w:t>.</w:t>
      </w:r>
    </w:p>
    <w:p>
      <w:pPr>
        <w:pStyle w:val="TextBody"/>
        <w:bidi w:val="0"/>
        <w:spacing w:before="0" w:after="0"/>
        <w:ind w:left="1436" w:right="0" w:firstLine="711"/>
        <w:jc w:val="both"/>
        <w:rPr>
          <w:caps w:val="false"/>
          <w:smallCaps w:val="false"/>
          <w:color w:val="1A181A"/>
        </w:rPr>
      </w:pPr>
      <w:r>
        <w:rPr>
          <w:caps w:val="false"/>
          <w:smallCaps w:val="false"/>
          <w:color w:val="1A181A"/>
        </w:rPr>
        <w:t> </w:t>
      </w:r>
    </w:p>
    <w:p>
      <w:pPr>
        <w:pStyle w:val="TextBody"/>
        <w:bidi w:val="0"/>
        <w:spacing w:before="0" w:after="0"/>
        <w:ind w:left="0" w:right="0" w:hanging="0"/>
        <w:jc w:val="left"/>
        <w:rPr/>
      </w:pPr>
      <w:r>
        <w:rPr/>
        <w:t> </w:t>
      </w:r>
    </w:p>
    <w:p>
      <w:pPr>
        <w:pStyle w:val="TextBody"/>
        <w:bidi w:val="0"/>
        <w:spacing w:before="0" w:after="0"/>
        <w:ind w:left="1436" w:right="0" w:firstLine="711"/>
        <w:jc w:val="both"/>
        <w:rPr>
          <w:caps w:val="false"/>
          <w:smallCaps w:val="false"/>
          <w:color w:val="1A181A"/>
        </w:rPr>
      </w:pPr>
      <w:r>
        <w:rPr>
          <w:caps w:val="false"/>
          <w:smallCaps w:val="false"/>
          <w:color w:val="1A181A"/>
        </w:rPr>
        <w:t> </w:t>
      </w:r>
    </w:p>
    <w:p>
      <w:pPr>
        <w:pStyle w:val="TextBody"/>
        <w:bidi w:val="0"/>
        <w:spacing w:before="0" w:after="0"/>
        <w:ind w:left="1436" w:right="0" w:firstLine="711"/>
        <w:jc w:val="both"/>
        <w:rPr>
          <w:caps w:val="false"/>
          <w:smallCaps w:val="false"/>
        </w:rPr>
      </w:pPr>
      <w:r>
        <w:rPr>
          <w:caps w:val="false"/>
          <w:smallCaps w:val="false"/>
          <w:color w:val="1A181A"/>
        </w:rPr>
        <w:t>“</w:t>
      </w:r>
      <w:r>
        <w:rPr>
          <w:rFonts w:ascii="Times New Roman;Times;Serif" w:hAnsi="Times New Roman;Times;Serif"/>
          <w:b/>
          <w:i w:val="false"/>
          <w:caps w:val="false"/>
          <w:smallCaps w:val="false"/>
          <w:color w:val="1A181A"/>
          <w:sz w:val="20"/>
        </w:rPr>
        <w:t xml:space="preserve">Accrued </w:t>
      </w:r>
      <w:r>
        <w:rPr>
          <w:rFonts w:ascii="Times New Roman;Times;Serif" w:hAnsi="Times New Roman;Times;Serif"/>
          <w:b/>
          <w:i w:val="false"/>
          <w:caps w:val="false"/>
          <w:smallCaps w:val="false"/>
          <w:color w:val="0A0808"/>
          <w:sz w:val="20"/>
        </w:rPr>
        <w:t xml:space="preserve">Value” </w:t>
      </w:r>
      <w:r>
        <w:rPr>
          <w:rFonts w:ascii="Times New Roman;Times;Serif" w:hAnsi="Times New Roman;Times;Serif"/>
          <w:b w:val="false"/>
          <w:i w:val="false"/>
          <w:caps w:val="false"/>
          <w:smallCaps w:val="false"/>
          <w:color w:val="0A0808"/>
          <w:sz w:val="20"/>
        </w:rPr>
        <w:t xml:space="preserve">means, as of </w:t>
      </w:r>
      <w:r>
        <w:rPr>
          <w:rFonts w:ascii="Times New Roman;Times;Serif" w:hAnsi="Times New Roman;Times;Serif"/>
          <w:b w:val="false"/>
          <w:i w:val="false"/>
          <w:caps w:val="false"/>
          <w:smallCaps w:val="false"/>
          <w:color w:val="1A181A"/>
          <w:sz w:val="20"/>
        </w:rPr>
        <w:t xml:space="preserve">any date, with </w:t>
      </w:r>
      <w:r>
        <w:rPr>
          <w:rFonts w:ascii="Times New Roman;Times;Serif" w:hAnsi="Times New Roman;Times;Serif"/>
          <w:b w:val="false"/>
          <w:i w:val="false"/>
          <w:caps w:val="false"/>
          <w:smallCaps w:val="false"/>
          <w:color w:val="0A0808"/>
          <w:sz w:val="20"/>
        </w:rPr>
        <w:t xml:space="preserve">respect to each </w:t>
      </w:r>
      <w:r>
        <w:rPr>
          <w:rFonts w:ascii="Times New Roman;Times;Serif" w:hAnsi="Times New Roman;Times;Serif"/>
          <w:b w:val="false"/>
          <w:i w:val="false"/>
          <w:caps w:val="false"/>
          <w:smallCaps w:val="false"/>
          <w:color w:val="1A181A"/>
          <w:sz w:val="20"/>
        </w:rPr>
        <w:t xml:space="preserve">share of </w:t>
      </w:r>
      <w:r>
        <w:rPr>
          <w:rFonts w:ascii="Times New Roman;Times;Serif" w:hAnsi="Times New Roman;Times;Serif"/>
          <w:b w:val="false"/>
          <w:i w:val="false"/>
          <w:caps w:val="false"/>
          <w:smallCaps w:val="false"/>
          <w:color w:val="0A0808"/>
          <w:sz w:val="20"/>
        </w:rPr>
        <w:t xml:space="preserve">Preferred </w:t>
      </w:r>
      <w:r>
        <w:rPr>
          <w:rFonts w:ascii="Times New Roman;Times;Serif" w:hAnsi="Times New Roman;Times;Serif"/>
          <w:b w:val="false"/>
          <w:i w:val="false"/>
          <w:caps w:val="false"/>
          <w:smallCaps w:val="false"/>
          <w:color w:val="1A181A"/>
          <w:sz w:val="20"/>
        </w:rPr>
        <w:t xml:space="preserve">Stock </w:t>
      </w:r>
      <w:r>
        <w:rPr>
          <w:rFonts w:ascii="Times New Roman;Times;Serif" w:hAnsi="Times New Roman;Times;Serif"/>
          <w:b w:val="false"/>
          <w:i w:val="false"/>
          <w:caps w:val="false"/>
          <w:smallCaps w:val="false"/>
          <w:color w:val="0A0808"/>
          <w:sz w:val="20"/>
        </w:rPr>
        <w:t xml:space="preserve">as </w:t>
      </w:r>
      <w:r>
        <w:rPr>
          <w:rFonts w:ascii="Times New Roman;Times;Serif" w:hAnsi="Times New Roman;Times;Serif"/>
          <w:b w:val="false"/>
          <w:i w:val="false"/>
          <w:caps w:val="false"/>
          <w:smallCaps w:val="false"/>
          <w:color w:val="1A181A"/>
          <w:sz w:val="20"/>
        </w:rPr>
        <w:t xml:space="preserve">of the </w:t>
      </w:r>
      <w:r>
        <w:rPr>
          <w:rFonts w:ascii="Times New Roman;Times;Serif" w:hAnsi="Times New Roman;Times;Serif"/>
          <w:b w:val="false"/>
          <w:i w:val="false"/>
          <w:caps w:val="false"/>
          <w:smallCaps w:val="false"/>
          <w:color w:val="0A0808"/>
          <w:sz w:val="20"/>
        </w:rPr>
        <w:t xml:space="preserve">determination date, </w:t>
      </w:r>
      <w:r>
        <w:rPr>
          <w:rFonts w:ascii="Times New Roman;Times;Serif" w:hAnsi="Times New Roman;Times;Serif"/>
          <w:b w:val="false"/>
          <w:i w:val="false"/>
          <w:caps w:val="false"/>
          <w:smallCaps w:val="false"/>
          <w:color w:val="1A181A"/>
          <w:sz w:val="20"/>
        </w:rPr>
        <w:t xml:space="preserve">the </w:t>
      </w:r>
      <w:r>
        <w:rPr>
          <w:rFonts w:ascii="Times New Roman;Times;Serif" w:hAnsi="Times New Roman;Times;Serif"/>
          <w:b w:val="false"/>
          <w:i w:val="false"/>
          <w:caps w:val="false"/>
          <w:smallCaps w:val="false"/>
          <w:color w:val="0A0808"/>
          <w:sz w:val="20"/>
        </w:rPr>
        <w:t xml:space="preserve">sum, </w:t>
      </w:r>
      <w:r>
        <w:rPr>
          <w:rFonts w:ascii="Times New Roman;Times;Serif" w:hAnsi="Times New Roman;Times;Serif"/>
          <w:b w:val="false"/>
          <w:i w:val="false"/>
          <w:caps w:val="false"/>
          <w:smallCaps w:val="false"/>
          <w:color w:val="1A181A"/>
          <w:sz w:val="20"/>
        </w:rPr>
        <w:t>subject to appropriate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808"/>
          <w:sz w:val="20"/>
        </w:rPr>
        <w:t xml:space="preserve">adjustment </w:t>
      </w:r>
      <w:r>
        <w:rPr>
          <w:rFonts w:ascii="Times New Roman;Times;Serif" w:hAnsi="Times New Roman;Times;Serif"/>
          <w:b w:val="false"/>
          <w:i w:val="false"/>
          <w:caps w:val="false"/>
          <w:smallCaps w:val="false"/>
          <w:color w:val="1A181A"/>
          <w:sz w:val="20"/>
        </w:rPr>
        <w:t>in the event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808"/>
          <w:sz w:val="20"/>
        </w:rPr>
        <w:t>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A181A"/>
          <w:sz w:val="20"/>
        </w:rPr>
        <w:t>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808"/>
          <w:sz w:val="20"/>
        </w:rPr>
        <w:t>dividend,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A181A"/>
          <w:sz w:val="20"/>
        </w:rPr>
        <w:t>stock split, combination 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808"/>
          <w:sz w:val="20"/>
        </w:rPr>
        <w:t>other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A181A"/>
          <w:sz w:val="20"/>
        </w:rPr>
        <w:t>similar recapitali</w:t>
      </w:r>
      <w:r>
        <w:rPr>
          <w:rFonts w:ascii="Times New Roman;Times;Serif" w:hAnsi="Times New Roman;Times;Serif"/>
          <w:b w:val="false"/>
          <w:i w:val="false"/>
          <w:caps w:val="false"/>
          <w:smallCaps w:val="false"/>
          <w:color w:val="2B2836"/>
          <w:sz w:val="20"/>
        </w:rPr>
        <w:t>z</w:t>
      </w:r>
      <w:r>
        <w:rPr>
          <w:rFonts w:ascii="Times New Roman;Times;Serif" w:hAnsi="Times New Roman;Times;Serif"/>
          <w:b w:val="false"/>
          <w:i w:val="false"/>
          <w:caps w:val="false"/>
          <w:smallCaps w:val="false"/>
          <w:color w:val="0A0808"/>
          <w:sz w:val="20"/>
        </w:rPr>
        <w:t xml:space="preserve">ation </w:t>
      </w:r>
      <w:r>
        <w:rPr>
          <w:rFonts w:ascii="Times New Roman;Times;Serif" w:hAnsi="Times New Roman;Times;Serif"/>
          <w:b w:val="false"/>
          <w:i w:val="false"/>
          <w:caps w:val="false"/>
          <w:smallCaps w:val="false"/>
          <w:sz w:val="20"/>
        </w:rPr>
        <w:t xml:space="preserve">with respect to the Preferred Stock, of (i) the Stated Value per share of Preferred Stock, plus (ii) the aggregate amount of any accrued PIK Dividends on such share of Preferred Stock as of such date, plus (iii) on each Semi-Annual Dividend Date and on a cumulative basis, an additional amount equal to the dollar value of all Cash Dividends that have accrued on such share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but only to the extent such Cash Dividends have not been paid, whether or not declared, but that have not, as of such date, been added to the Accrued Value.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Alternate Consideration”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7(f)</w:t>
      </w:r>
      <w:r>
        <w:rPr>
          <w:rFonts w:ascii="Times New Roman;Times;Serif" w:hAnsi="Times New Roman;Times;Serif"/>
          <w:b w:val="false"/>
          <w:i w:val="false"/>
          <w:caps w:val="false"/>
          <w:smallCaps w:val="false"/>
          <w:sz w:val="20"/>
        </w:rPr>
        <w:t>.</w:t>
      </w:r>
    </w:p>
    <w:p>
      <w:pPr>
        <w:pStyle w:val="TextBody"/>
        <w:bidi w:val="0"/>
        <w:spacing w:before="0" w:after="0"/>
        <w:ind w:left="1442" w:right="0" w:firstLine="711"/>
        <w:jc w:val="both"/>
        <w:rPr>
          <w:caps w:val="false"/>
          <w:smallCaps w:val="false"/>
        </w:rPr>
      </w:pPr>
      <w:r>
        <w:rPr>
          <w:caps w:val="false"/>
          <w:smallCaps w:val="false"/>
        </w:rPr>
        <w:t> </w:t>
      </w:r>
    </w:p>
    <w:p>
      <w:pPr>
        <w:pStyle w:val="TextBody"/>
        <w:bidi w:val="0"/>
        <w:spacing w:before="0" w:after="0"/>
        <w:ind w:left="1442" w:right="0" w:firstLine="711"/>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Annual Rate” </w:t>
      </w:r>
      <w:r>
        <w:rPr>
          <w:rFonts w:ascii="Times New Roman;Times;Serif" w:hAnsi="Times New Roman;Times;Serif"/>
          <w:b w:val="false"/>
          <w:i w:val="false"/>
          <w:caps w:val="false"/>
          <w:smallCaps w:val="false"/>
          <w:sz w:val="20"/>
        </w:rPr>
        <w:t>means with respect to a PIK Dividend, 12.0% of the Accrued Value and with respect to a Cash Dividend, 10% of the Accrued Value.</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Available Proceeds”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5(c)(i)</w:t>
      </w:r>
      <w:r>
        <w:rPr>
          <w:rFonts w:ascii="Times New Roman;Times;Serif" w:hAnsi="Times New Roman;Times;Serif"/>
          <w:b w:val="false"/>
          <w:i w:val="false"/>
          <w:caps w:val="false"/>
          <w:smallCaps w:val="false"/>
          <w:sz w:val="20"/>
        </w:rPr>
        <w:t>.</w:t>
      </w:r>
    </w:p>
    <w:p>
      <w:pPr>
        <w:pStyle w:val="TextBody"/>
        <w:bidi w:val="0"/>
        <w:spacing w:before="0" w:after="0"/>
        <w:ind w:left="1444" w:right="0" w:firstLine="709"/>
        <w:jc w:val="both"/>
        <w:rPr>
          <w:caps w:val="false"/>
          <w:smallCaps w:val="false"/>
        </w:rPr>
      </w:pPr>
      <w:r>
        <w:rPr>
          <w:caps w:val="false"/>
          <w:smallCaps w:val="false"/>
        </w:rPr>
        <w:t> </w:t>
      </w:r>
    </w:p>
    <w:p>
      <w:pPr>
        <w:pStyle w:val="TextBody"/>
        <w:bidi w:val="0"/>
        <w:spacing w:before="0" w:after="0"/>
        <w:ind w:left="1444" w:right="0" w:firstLine="709"/>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w:t>
      </w:r>
    </w:p>
    <w:p>
      <w:pPr>
        <w:pStyle w:val="TextBody"/>
        <w:bidi w:val="0"/>
        <w:spacing w:before="0" w:after="0"/>
        <w:ind w:left="1443" w:right="0" w:firstLine="711"/>
        <w:jc w:val="both"/>
        <w:rPr>
          <w:caps w:val="false"/>
          <w:smallCaps w:val="false"/>
        </w:rPr>
      </w:pPr>
      <w:r>
        <w:rPr>
          <w:caps w:val="false"/>
          <w:smallCaps w:val="false"/>
        </w:rPr>
        <w:t> </w:t>
      </w:r>
    </w:p>
    <w:p>
      <w:pPr>
        <w:pStyle w:val="TextBody"/>
        <w:bidi w:val="0"/>
        <w:spacing w:before="0" w:after="0"/>
        <w:ind w:left="1443" w:right="0" w:firstLine="711"/>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Business Combination” </w:t>
      </w:r>
      <w:r>
        <w:rPr>
          <w:rFonts w:ascii="Times New Roman;Times;Serif" w:hAnsi="Times New Roman;Times;Serif"/>
          <w:b w:val="false"/>
          <w:i w:val="false"/>
          <w:caps w:val="false"/>
          <w:smallCaps w:val="false"/>
          <w:sz w:val="20"/>
        </w:rPr>
        <w:t>means the transactions contemplated by the Business Combination Agreement.</w:t>
      </w:r>
    </w:p>
    <w:p>
      <w:pPr>
        <w:pStyle w:val="TextBody"/>
        <w:bidi w:val="0"/>
        <w:spacing w:before="0" w:after="0"/>
        <w:ind w:left="1443" w:right="0" w:firstLine="711"/>
        <w:jc w:val="both"/>
        <w:rPr>
          <w:caps w:val="false"/>
          <w:smallCaps w:val="false"/>
        </w:rPr>
      </w:pPr>
      <w:r>
        <w:rPr>
          <w:caps w:val="false"/>
          <w:smallCaps w:val="false"/>
        </w:rPr>
        <w:t> </w:t>
      </w:r>
    </w:p>
    <w:p>
      <w:pPr>
        <w:pStyle w:val="TextBody"/>
        <w:bidi w:val="0"/>
        <w:spacing w:before="0" w:after="0"/>
        <w:ind w:left="1443" w:right="0" w:firstLine="711"/>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Business Combination Agreement” </w:t>
      </w:r>
      <w:r>
        <w:rPr>
          <w:rFonts w:ascii="Times New Roman;Times;Serif" w:hAnsi="Times New Roman;Times;Serif"/>
          <w:b w:val="false"/>
          <w:i w:val="false"/>
          <w:caps w:val="false"/>
          <w:smallCaps w:val="false"/>
          <w:sz w:val="20"/>
        </w:rPr>
        <w:t>means that certain Business Combination Agreement, dated as of August 13, 2025, by and among the Corporation (or its predecessor), IPDX Merger Sub, Inc. and Merlin Labs. Inc., as it may be further amended, modified or supplemented from time to time.</w:t>
      </w:r>
    </w:p>
    <w:p>
      <w:pPr>
        <w:pStyle w:val="TextBody"/>
        <w:bidi w:val="0"/>
        <w:spacing w:before="0" w:after="0"/>
        <w:ind w:left="1436" w:right="0" w:firstLine="717"/>
        <w:jc w:val="both"/>
        <w:rPr>
          <w:caps w:val="false"/>
          <w:smallCaps w:val="false"/>
        </w:rPr>
      </w:pPr>
      <w:r>
        <w:rPr>
          <w:caps w:val="false"/>
          <w:smallCaps w:val="false"/>
        </w:rPr>
        <w:t> </w:t>
      </w:r>
    </w:p>
    <w:p>
      <w:pPr>
        <w:pStyle w:val="TextBody"/>
        <w:bidi w:val="0"/>
        <w:spacing w:before="0" w:after="0"/>
        <w:ind w:left="1436" w:right="0" w:firstLine="717"/>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Business Day” </w:t>
      </w:r>
      <w:r>
        <w:rPr>
          <w:rFonts w:ascii="Times New Roman;Times;Serif" w:hAnsi="Times New Roman;Times;Serif"/>
          <w:b w:val="false"/>
          <w:i w:val="false"/>
          <w:caps w:val="false"/>
          <w:smallCaps w:val="false"/>
          <w:sz w:val="20"/>
        </w:rPr>
        <w:t xml:space="preserve">means any day other than Saturday, Sunday or other day on which commercial banks in The City of New York are authorized or required by law to remain closed; </w:t>
      </w:r>
      <w:r>
        <w:rPr>
          <w:rFonts w:ascii="Times New Roman;Times;Serif" w:hAnsi="Times New Roman;Times;Serif"/>
          <w:b w:val="false"/>
          <w:i/>
          <w:caps w:val="false"/>
          <w:smallCaps w:val="false"/>
          <w:sz w:val="20"/>
          <w:u w:val="single"/>
        </w:rPr>
        <w:t>provided, however,</w:t>
      </w:r>
      <w:r>
        <w:rPr>
          <w:rFonts w:ascii="Times New Roman;Times;Serif" w:hAnsi="Times New Roman;Times;Serif"/>
          <w:b w:val="false"/>
          <w:i w:val="false"/>
          <w:caps w:val="false"/>
          <w:smallCaps w:val="false"/>
          <w:sz w:val="20"/>
        </w:rPr>
        <w:t xml:space="preserve">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1436" w:right="0" w:firstLine="717"/>
        <w:jc w:val="both"/>
        <w:rPr>
          <w:caps w:val="false"/>
          <w:smallCaps w:val="false"/>
        </w:rPr>
      </w:pPr>
      <w:r>
        <w:rPr>
          <w:caps w:val="false"/>
          <w:smallCaps w:val="false"/>
        </w:rPr>
        <w:t>“</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u w:val="single"/>
        </w:rPr>
        <w:t>c)(iv)</w:t>
      </w:r>
      <w:r>
        <w:rPr>
          <w:rFonts w:ascii="Times New Roman;Times;Serif" w:hAnsi="Times New Roman;Times;Serif"/>
          <w:b w:val="false"/>
          <w:i w:val="false"/>
          <w:caps w:val="false"/>
          <w:smallCaps w:val="false"/>
          <w:sz w:val="20"/>
        </w:rPr>
        <w:t>.</w:t>
      </w:r>
    </w:p>
    <w:p>
      <w:pPr>
        <w:pStyle w:val="TextBody"/>
        <w:bidi w:val="0"/>
        <w:spacing w:before="0" w:after="0"/>
        <w:ind w:left="1436" w:right="0" w:firstLine="717"/>
        <w:jc w:val="both"/>
        <w:rPr>
          <w:caps w:val="false"/>
          <w:smallCaps w:val="false"/>
        </w:rPr>
      </w:pPr>
      <w:r>
        <w:rPr>
          <w:caps w:val="false"/>
          <w:smallCaps w:val="false"/>
        </w:rPr>
        <w:t> </w:t>
      </w:r>
    </w:p>
    <w:p>
      <w:pPr>
        <w:pStyle w:val="TextBody"/>
        <w:bidi w:val="0"/>
        <w:spacing w:before="0" w:after="0"/>
        <w:ind w:left="1436" w:right="0" w:firstLine="717"/>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Dividend”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p>
    <w:p>
      <w:pPr>
        <w:pStyle w:val="TextBody"/>
        <w:bidi w:val="0"/>
        <w:spacing w:before="0" w:after="0"/>
        <w:ind w:left="1436" w:right="0" w:firstLine="717"/>
        <w:jc w:val="both"/>
        <w:rPr>
          <w:caps w:val="false"/>
          <w:smallCaps w:val="false"/>
        </w:rPr>
      </w:pPr>
      <w:r>
        <w:rPr>
          <w:caps w:val="false"/>
          <w:smallCaps w:val="false"/>
        </w:rPr>
        <w:t> </w:t>
      </w:r>
    </w:p>
    <w:p>
      <w:pPr>
        <w:pStyle w:val="TextBody"/>
        <w:bidi w:val="0"/>
        <w:spacing w:before="0" w:after="0"/>
        <w:ind w:left="1436" w:right="0" w:firstLine="717"/>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Closing” </w:t>
      </w:r>
      <w:r>
        <w:rPr>
          <w:rFonts w:ascii="Times New Roman;Times;Serif" w:hAnsi="Times New Roman;Times;Serif"/>
          <w:b w:val="false"/>
          <w:i w:val="false"/>
          <w:caps w:val="false"/>
          <w:smallCaps w:val="false"/>
          <w:sz w:val="20"/>
        </w:rPr>
        <w:t>means the closing of the Business Combination.</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1443" w:right="0" w:firstLine="71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Closing Date” </w:t>
      </w:r>
      <w:r>
        <w:rPr>
          <w:rFonts w:ascii="Times New Roman;Times;Serif" w:hAnsi="Times New Roman;Times;Serif"/>
          <w:b w:val="false"/>
          <w:i w:val="false"/>
          <w:caps w:val="false"/>
          <w:smallCaps w:val="false"/>
          <w:sz w:val="20"/>
        </w:rPr>
        <w:t>means the Trading Day on which the Business Combination is consummated.</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the United States Securities and Exchange Commission.</w:t>
      </w:r>
    </w:p>
    <w:p>
      <w:pPr>
        <w:pStyle w:val="TextBody"/>
        <w:bidi w:val="0"/>
        <w:spacing w:before="0" w:after="0"/>
        <w:ind w:left="1443" w:right="0" w:firstLine="711"/>
        <w:jc w:val="both"/>
        <w:rPr>
          <w:caps w:val="false"/>
          <w:smallCaps w:val="false"/>
        </w:rPr>
      </w:pPr>
      <w:r>
        <w:rPr>
          <w:caps w:val="false"/>
          <w:smallCaps w:val="false"/>
        </w:rPr>
        <w:t> </w:t>
      </w:r>
    </w:p>
    <w:p>
      <w:pPr>
        <w:pStyle w:val="TextBody"/>
        <w:bidi w:val="0"/>
        <w:spacing w:before="0" w:after="0"/>
        <w:ind w:left="1443" w:right="0" w:firstLine="711"/>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Common Stock” </w:t>
      </w:r>
      <w:r>
        <w:rPr>
          <w:rFonts w:ascii="Times New Roman;Times;Serif" w:hAnsi="Times New Roman;Times;Serif"/>
          <w:b w:val="false"/>
          <w:i w:val="false"/>
          <w:caps w:val="false"/>
          <w:smallCaps w:val="false"/>
          <w:sz w:val="20"/>
        </w:rPr>
        <w:t>means the common stock, par value $0.0001 per share, of the Corporation and stock of any other class of securities into which such securities may hereafter be reclassified or changed.</w:t>
      </w:r>
    </w:p>
    <w:p>
      <w:pPr>
        <w:pStyle w:val="TextBody"/>
        <w:bidi w:val="0"/>
        <w:spacing w:before="0" w:after="0"/>
        <w:ind w:left="1443" w:right="0" w:firstLine="711"/>
        <w:jc w:val="both"/>
        <w:rPr>
          <w:caps w:val="false"/>
          <w:smallCaps w:val="false"/>
        </w:rPr>
      </w:pPr>
      <w:r>
        <w:rPr>
          <w:caps w:val="false"/>
          <w:smallCaps w:val="false"/>
        </w:rPr>
        <w:t> </w:t>
      </w:r>
    </w:p>
    <w:p>
      <w:pPr>
        <w:pStyle w:val="TextBody"/>
        <w:bidi w:val="0"/>
        <w:spacing w:before="0" w:after="0"/>
        <w:ind w:left="1443" w:right="0" w:firstLine="711"/>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Common Stock Equivalents” </w:t>
      </w:r>
      <w:r>
        <w:rPr>
          <w:rFonts w:ascii="Times New Roman;Times;Serif" w:hAnsi="Times New Roman;Times;Serif"/>
          <w:b w:val="false"/>
          <w:i w:val="false"/>
          <w:caps w:val="false"/>
          <w:smallCaps w:val="false"/>
          <w:sz w:val="20"/>
        </w:rPr>
        <w:t>means any securities of the Corporation that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Conversion Date” </w:t>
      </w:r>
      <w:r>
        <w:rPr>
          <w:rFonts w:ascii="Times New Roman;Times;Serif" w:hAnsi="Times New Roman;Times;Serif"/>
          <w:b w:val="false"/>
          <w:i w:val="false"/>
          <w:caps w:val="false"/>
          <w:smallCaps w:val="false"/>
          <w:sz w:val="20"/>
        </w:rPr>
        <w:t xml:space="preserve">shall have the meaning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Conversion Shares” </w:t>
      </w:r>
      <w:r>
        <w:rPr>
          <w:rFonts w:ascii="Times New Roman;Times;Serif" w:hAnsi="Times New Roman;Times;Serif"/>
          <w:b w:val="false"/>
          <w:i w:val="false"/>
          <w:caps w:val="false"/>
          <w:smallCaps w:val="false"/>
          <w:sz w:val="20"/>
        </w:rPr>
        <w:t>means, collectively, the shares of Common Stock issuable upon conversion of the shares of Preferred Stock in accordance with the terms hereof.</w:t>
      </w:r>
    </w:p>
    <w:p>
      <w:pPr>
        <w:pStyle w:val="TextBody"/>
        <w:bidi w:val="0"/>
        <w:spacing w:before="0" w:after="0"/>
        <w:ind w:left="1443" w:right="0" w:firstLine="710"/>
        <w:jc w:val="both"/>
        <w:rPr>
          <w:caps w:val="false"/>
          <w:smallCaps w:val="false"/>
        </w:rPr>
      </w:pPr>
      <w:r>
        <w:rPr>
          <w:caps w:val="false"/>
          <w:smallCaps w:val="false"/>
        </w:rPr>
        <w:t> </w:t>
      </w:r>
    </w:p>
    <w:p>
      <w:pPr>
        <w:pStyle w:val="TextBody"/>
        <w:bidi w:val="0"/>
        <w:spacing w:before="0" w:after="0"/>
        <w:ind w:left="1443" w:right="0" w:firstLine="71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Convertible Securities” </w:t>
      </w:r>
      <w:r>
        <w:rPr>
          <w:rFonts w:ascii="Times New Roman;Times;Serif" w:hAnsi="Times New Roman;Times;Serif"/>
          <w:b w:val="false"/>
          <w:i w:val="false"/>
          <w:caps w:val="false"/>
          <w:smallCaps w:val="false"/>
          <w:sz w:val="20"/>
        </w:rPr>
        <w:t>means any stock or securities (other than Options) directly or indirectly convertible into or exercisable or exchangeable for, or which otherwise entitles the holder thereof to acquire, any shares of Common Stock;</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Corporation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Deemed Liquidation Event” </w:t>
      </w:r>
      <w:r>
        <w:rPr>
          <w:rFonts w:ascii="Times New Roman;Times;Serif" w:hAnsi="Times New Roman;Times;Serif"/>
          <w:b w:val="false"/>
          <w:i w:val="false"/>
          <w:caps w:val="false"/>
          <w:smallCaps w:val="false"/>
          <w:sz w:val="20"/>
        </w:rPr>
        <w:t xml:space="preserve">means: (i) a merger or consolidation in which (a) the Corporation is a constituent party or (b) a subsidiary of the Corporation is a constituent party and the Corporation issues shares of its capital stock pursuant to such merger or consolidation;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Deemed Liquidation Event shall not include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 (ii) (a) the sale, in a single transaction or series of related transactions, by the Corporation or any subsidiary of the Corporation of all or substantially all the assets of the Corporation and its subsidiaries taken as a whole, or (b) the sale or disposition (whether by merger, consolidation or otherwise, and whether in a single transaction or a series of related transactions) of one (1) or more subsidiaries of the Corporation if substantially all of the assets of the Corporation and its subsidiaries taken as a whole are held by such subsidiary or subsidiaries, except where such sale is to a wholly owned subsidiary of the Corporation.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54"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Delaware Courts”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w:t>
      </w:r>
    </w:p>
    <w:p>
      <w:pPr>
        <w:pStyle w:val="TextBody"/>
        <w:bidi w:val="0"/>
        <w:spacing w:before="0" w:after="0"/>
        <w:ind w:left="2154" w:right="0" w:hanging="0"/>
        <w:jc w:val="both"/>
        <w:rPr>
          <w:caps w:val="false"/>
          <w:smallCaps w:val="false"/>
        </w:rPr>
      </w:pPr>
      <w:r>
        <w:rPr>
          <w:caps w:val="false"/>
          <w:smallCaps w:val="false"/>
        </w:rPr>
        <w:t> </w:t>
      </w:r>
    </w:p>
    <w:p>
      <w:pPr>
        <w:pStyle w:val="TextBody"/>
        <w:bidi w:val="0"/>
        <w:spacing w:before="0" w:after="0"/>
        <w:ind w:left="2154"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7(c)</w:t>
      </w:r>
      <w:r>
        <w:rPr>
          <w:rFonts w:ascii="Times New Roman;Times;Serif" w:hAnsi="Times New Roman;Times;Serif"/>
          <w:b w:val="false"/>
          <w:i w:val="false"/>
          <w:caps w:val="false"/>
          <w:smallCaps w:val="false"/>
          <w:sz w:val="20"/>
        </w:rPr>
        <w:t xml:space="preserve">. </w:t>
      </w:r>
    </w:p>
    <w:p>
      <w:pPr>
        <w:pStyle w:val="TextBody"/>
        <w:bidi w:val="0"/>
        <w:spacing w:before="0" w:after="0"/>
        <w:ind w:left="2154" w:right="0" w:hanging="0"/>
        <w:jc w:val="both"/>
        <w:rPr>
          <w:caps w:val="false"/>
          <w:smallCaps w:val="false"/>
        </w:rPr>
      </w:pPr>
      <w:r>
        <w:rPr>
          <w:caps w:val="false"/>
          <w:smallCaps w:val="false"/>
        </w:rPr>
        <w:t> </w:t>
      </w:r>
    </w:p>
    <w:p>
      <w:pPr>
        <w:pStyle w:val="TextBody"/>
        <w:bidi w:val="0"/>
        <w:spacing w:before="0" w:after="0"/>
        <w:ind w:left="2154"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7(e)</w:t>
      </w:r>
      <w:r>
        <w:rPr>
          <w:rFonts w:ascii="Times New Roman;Times;Serif" w:hAnsi="Times New Roman;Times;Serif"/>
          <w:b w:val="false"/>
          <w:i w:val="false"/>
          <w:caps w:val="false"/>
          <w:smallCaps w:val="false"/>
          <w:sz w:val="20"/>
        </w:rPr>
        <w:t>.</w:t>
      </w:r>
    </w:p>
    <w:p>
      <w:pPr>
        <w:pStyle w:val="TextBody"/>
        <w:bidi w:val="0"/>
        <w:spacing w:before="0" w:after="0"/>
        <w:ind w:left="2154" w:right="0" w:hanging="0"/>
        <w:jc w:val="both"/>
        <w:rPr>
          <w:caps w:val="false"/>
          <w:smallCaps w:val="false"/>
        </w:rPr>
      </w:pPr>
      <w:r>
        <w:rPr>
          <w:caps w:val="false"/>
          <w:smallCaps w:val="false"/>
        </w:rPr>
        <w:t> </w:t>
      </w:r>
    </w:p>
    <w:p>
      <w:pPr>
        <w:pStyle w:val="TextBody"/>
        <w:bidi w:val="0"/>
        <w:spacing w:before="0" w:after="0"/>
        <w:ind w:left="1442" w:right="0" w:firstLine="711"/>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Effective Date” </w:t>
      </w:r>
      <w:r>
        <w:rPr>
          <w:rFonts w:ascii="Times New Roman;Times;Serif" w:hAnsi="Times New Roman;Times;Serif"/>
          <w:b w:val="false"/>
          <w:i w:val="false"/>
          <w:caps w:val="false"/>
          <w:smallCaps w:val="false"/>
          <w:sz w:val="20"/>
        </w:rPr>
        <w:t>means the date that the Registration Statement filed by the Corporation pursuant to the Registration Rights Agreement is first declared effective by the Commission.</w:t>
      </w:r>
    </w:p>
    <w:p>
      <w:pPr>
        <w:pStyle w:val="TextBody"/>
        <w:bidi w:val="0"/>
        <w:spacing w:before="0" w:after="0"/>
        <w:ind w:left="1442" w:right="0" w:firstLine="711"/>
        <w:jc w:val="both"/>
        <w:rPr>
          <w:caps w:val="false"/>
          <w:smallCaps w:val="false"/>
        </w:rPr>
      </w:pPr>
      <w:r>
        <w:rPr>
          <w:caps w:val="false"/>
          <w:smallCaps w:val="false"/>
        </w:rPr>
        <w:t> </w:t>
      </w:r>
    </w:p>
    <w:p>
      <w:pPr>
        <w:pStyle w:val="TextBody"/>
        <w:bidi w:val="0"/>
        <w:spacing w:before="0" w:after="0"/>
        <w:ind w:left="1442" w:right="0" w:firstLine="711"/>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Exchange Act” </w:t>
      </w:r>
      <w:r>
        <w:rPr>
          <w:rFonts w:ascii="Times New Roman;Times;Serif" w:hAnsi="Times New Roman;Times;Serif"/>
          <w:b w:val="false"/>
          <w:i w:val="false"/>
          <w:caps w:val="false"/>
          <w:smallCaps w:val="false"/>
          <w:sz w:val="20"/>
        </w:rPr>
        <w:t>means the Securities Exchange Act of 1934, as amended, and the rules and regulations promulgated thereunder.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Exempt Issuance”</w:t>
      </w:r>
      <w:r>
        <w:rPr>
          <w:rFonts w:ascii="Times New Roman;Times;Serif" w:hAnsi="Times New Roman;Times;Serif"/>
          <w:b w:val="false"/>
          <w:i w:val="false"/>
          <w:caps w:val="false"/>
          <w:smallCaps w:val="false"/>
          <w:sz w:val="20"/>
        </w:rPr>
        <w:t xml:space="preserve"> means the issuance of (a) any securities of the Corporation to employees, officers or directors, consultants, contractors, vendors or other agents of the Corporation pursuant to any stock or option plan duly adopted for such purpose, by a majority of the non-employee members of the Board of Directors or a majority of the members of a committee of non-employee directors established for such purpose for services rendered to the Corporation, (b) securities upon the exercise or exchange of or conversion of any securities issued pursuant to the Purchase Agreements or the Business Combination Agreement and/or other securities exercisable or exchangeable for or convertible into shares of Common Stock issued and outstanding on the Closing Date, </w:t>
      </w:r>
      <w:r>
        <w:rPr>
          <w:rFonts w:ascii="Times New Roman;Times;Serif" w:hAnsi="Times New Roman;Times;Serif"/>
          <w:b w:val="false"/>
          <w:i/>
          <w:caps w:val="false"/>
          <w:smallCaps w:val="false"/>
          <w:sz w:val="20"/>
          <w:u w:val="single"/>
        </w:rPr>
        <w:t>provided that</w:t>
      </w:r>
      <w:r>
        <w:rPr>
          <w:rFonts w:ascii="Times New Roman;Times;Serif" w:hAnsi="Times New Roman;Times;Serif"/>
          <w:b w:val="false"/>
          <w:i w:val="false"/>
          <w:caps w:val="false"/>
          <w:smallCaps w:val="false"/>
          <w:sz w:val="20"/>
        </w:rPr>
        <w:t xml:space="preserve"> such securities have not been amended since the Closing Date to increase the number of such securities or to decrease the exercise price, exchange price or conversion price of such securities (other than in connection with stock splits or combinations and automatic adjustments to such terms pursuant to anti-dilution or similar provisions of such securities which are not more favorable to the holder thereof than the anti-dilution and similar provisions set forth herein) or to extend the term of such securities, (c) the Conversion Shares, (d) securities issued pursuant to any merger, acquisition or strategic transaction or partnership approved by a majority of the directors of the Corporation, </w:t>
      </w:r>
      <w:r>
        <w:rPr>
          <w:rFonts w:ascii="Times New Roman;Times;Serif" w:hAnsi="Times New Roman;Times;Serif"/>
          <w:b w:val="false"/>
          <w:i/>
          <w:caps w:val="false"/>
          <w:smallCaps w:val="false"/>
          <w:sz w:val="20"/>
          <w:u w:val="single"/>
        </w:rPr>
        <w:t>provided that</w:t>
      </w:r>
      <w:r>
        <w:rPr>
          <w:rFonts w:ascii="Times New Roman;Times;Serif" w:hAnsi="Times New Roman;Times;Serif"/>
          <w:b w:val="false"/>
          <w:i w:val="false"/>
          <w:caps w:val="false"/>
          <w:smallCaps w:val="false"/>
          <w:sz w:val="20"/>
        </w:rPr>
        <w:t xml:space="preserve"> (i) such securities are issued as “restricted securities” (as defined in Rule 144) or are issued pursuant to an effective registration statement pursuant to the Securities Act and (ii) any such issuance shall only be to a Person (or to the equityholders of a Person) which is, itself or through its subsidiaries, an operating company or an owner of an asset in a business synergistic with the business of the Corporation and shall provide to the Corporation additional benefits in addition to the investment of funds and (e) any securities issued by the corporation pursuant to any legal settlement or similar arrangement agreed or entered into by the Corporation, </w:t>
      </w:r>
      <w:r>
        <w:rPr>
          <w:rFonts w:ascii="Times New Roman;Times;Serif" w:hAnsi="Times New Roman;Times;Serif"/>
          <w:b w:val="false"/>
          <w:i/>
          <w:caps w:val="false"/>
          <w:smallCaps w:val="false"/>
          <w:sz w:val="20"/>
          <w:u w:val="single"/>
        </w:rPr>
        <w:t>provided that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 the aggregate, not more than 94,705 shares of Common Stock are issued or deemed issued or issuable upon conversion, settlement, exercise or exchange of any such securities that are Options or Convertible Securities, </w:t>
      </w:r>
      <w:r>
        <w:rPr>
          <w:rFonts w:ascii="Times New Roman;Times;Serif" w:hAnsi="Times New Roman;Times;Serif"/>
          <w:b w:val="false"/>
          <w:i/>
          <w:caps w:val="false"/>
          <w:smallCaps w:val="false"/>
          <w:sz w:val="20"/>
          <w:u w:val="single"/>
        </w:rPr>
        <w:t>but</w:t>
      </w:r>
      <w:r>
        <w:rPr>
          <w:rFonts w:ascii="Times New Roman;Times;Serif" w:hAnsi="Times New Roman;Times;Serif"/>
          <w:b w:val="false"/>
          <w:i w:val="false"/>
          <w:caps w:val="false"/>
          <w:smallCaps w:val="false"/>
          <w:sz w:val="20"/>
        </w:rPr>
        <w:t xml:space="preserve"> any such Exempt Issuance shall not include a transaction in which the Corporation is issuing securities (i) primarily for the purpose of raising capital, including an at-the-market offering, or (ii) to an entity whose primary business is investing in securities.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Floor Price” </w:t>
      </w:r>
      <w:r>
        <w:rPr>
          <w:rFonts w:ascii="Times New Roman;Times;Serif" w:hAnsi="Times New Roman;Times;Serif"/>
          <w:b w:val="false"/>
          <w:i w:val="false"/>
          <w:caps w:val="false"/>
          <w:smallCaps w:val="false"/>
          <w:sz w:val="20"/>
        </w:rPr>
        <w:t>means the lesser of (i) $5.00 (as adjusted for any stock dividend, stock split, stock combination, reclassification or similar transaction occurring after the date of the Purchase Agreement) and (ii) the Conversion Price then in effect.</w:t>
      </w:r>
    </w:p>
    <w:p>
      <w:pPr>
        <w:pStyle w:val="TextBody"/>
        <w:bidi w:val="0"/>
        <w:spacing w:before="0" w:after="0"/>
        <w:ind w:left="2154" w:right="0" w:hanging="0"/>
        <w:jc w:val="both"/>
        <w:rPr>
          <w:caps w:val="false"/>
          <w:smallCaps w:val="false"/>
        </w:rPr>
      </w:pPr>
      <w:r>
        <w:rPr>
          <w:caps w:val="false"/>
          <w:smallCaps w:val="false"/>
        </w:rPr>
        <w:t> </w:t>
      </w:r>
    </w:p>
    <w:p>
      <w:pPr>
        <w:pStyle w:val="TextBody"/>
        <w:bidi w:val="0"/>
        <w:spacing w:before="0" w:after="0"/>
        <w:ind w:left="2154"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7(f)</w:t>
      </w:r>
      <w:r>
        <w:rPr>
          <w:rFonts w:ascii="Times New Roman;Times;Serif" w:hAnsi="Times New Roman;Times;Serif"/>
          <w:b w:val="false"/>
          <w:i/>
          <w:caps w:val="false"/>
          <w:smallCaps w:val="false"/>
          <w:sz w:val="20"/>
        </w:rPr>
        <w:t>.</w:t>
      </w:r>
    </w:p>
    <w:p>
      <w:pPr>
        <w:pStyle w:val="TextBody"/>
        <w:bidi w:val="0"/>
        <w:spacing w:before="0" w:after="0"/>
        <w:ind w:left="2154" w:right="0" w:hanging="0"/>
        <w:jc w:val="both"/>
        <w:rPr>
          <w:caps w:val="false"/>
          <w:smallCaps w:val="false"/>
        </w:rPr>
      </w:pPr>
      <w:r>
        <w:rPr>
          <w:caps w:val="false"/>
          <w:smallCaps w:val="false"/>
        </w:rPr>
        <w:t> </w:t>
      </w:r>
    </w:p>
    <w:p>
      <w:pPr>
        <w:pStyle w:val="TextBody"/>
        <w:bidi w:val="0"/>
        <w:spacing w:before="0" w:after="0"/>
        <w:ind w:left="2154"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2154" w:right="0" w:hanging="0"/>
        <w:jc w:val="both"/>
        <w:rPr>
          <w:caps w:val="false"/>
          <w:smallCaps w:val="false"/>
        </w:rPr>
      </w:pPr>
      <w:r>
        <w:rPr>
          <w:caps w:val="false"/>
          <w:smallCaps w:val="false"/>
        </w:rPr>
        <w:t> </w:t>
      </w:r>
    </w:p>
    <w:p>
      <w:pPr>
        <w:pStyle w:val="TextBody"/>
        <w:bidi w:val="0"/>
        <w:spacing w:before="0" w:after="0"/>
        <w:ind w:left="2154"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Junior Securities” </w:t>
      </w:r>
      <w:r>
        <w:rPr>
          <w:rFonts w:ascii="Times New Roman;Times;Serif" w:hAnsi="Times New Roman;Times;Serif"/>
          <w:b w:val="false"/>
          <w:i w:val="false"/>
          <w:caps w:val="false"/>
          <w:smallCaps w:val="false"/>
          <w:sz w:val="20"/>
        </w:rPr>
        <w:t xml:space="preserve">shall have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w:t>
      </w:r>
    </w:p>
    <w:p>
      <w:pPr>
        <w:pStyle w:val="TextBody"/>
        <w:bidi w:val="0"/>
        <w:spacing w:before="0" w:after="0"/>
        <w:ind w:left="2154" w:right="0" w:hanging="0"/>
        <w:jc w:val="both"/>
        <w:rPr>
          <w:caps w:val="false"/>
          <w:smallCaps w:val="false"/>
        </w:rPr>
      </w:pPr>
      <w:r>
        <w:rPr>
          <w:caps w:val="false"/>
          <w:smallCaps w:val="false"/>
        </w:rPr>
        <w:t> </w:t>
      </w:r>
    </w:p>
    <w:p>
      <w:pPr>
        <w:pStyle w:val="TextBody"/>
        <w:bidi w:val="0"/>
        <w:spacing w:before="0" w:after="0"/>
        <w:ind w:left="2154"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7(c)</w:t>
      </w:r>
      <w:r>
        <w:rPr>
          <w:rFonts w:ascii="Times New Roman;Times;Serif" w:hAnsi="Times New Roman;Times;Serif"/>
          <w:b w:val="false"/>
          <w:i w:val="false"/>
          <w:caps w:val="false"/>
          <w:smallCaps w:val="false"/>
          <w:sz w:val="20"/>
        </w:rPr>
        <w:t xml:space="preserve">. </w:t>
      </w:r>
    </w:p>
    <w:p>
      <w:pPr>
        <w:pStyle w:val="TextBody"/>
        <w:bidi w:val="0"/>
        <w:spacing w:before="0" w:after="0"/>
        <w:ind w:left="2154" w:right="0" w:hanging="0"/>
        <w:jc w:val="both"/>
        <w:rPr>
          <w:caps w:val="false"/>
          <w:smallCaps w:val="false"/>
        </w:rPr>
      </w:pPr>
      <w:r>
        <w:rPr>
          <w:caps w:val="false"/>
          <w:smallCaps w:val="false"/>
        </w:rPr>
        <w:t> </w:t>
      </w:r>
    </w:p>
    <w:p>
      <w:pPr>
        <w:pStyle w:val="TextBody"/>
        <w:bidi w:val="0"/>
        <w:spacing w:before="0" w:after="0"/>
        <w:ind w:left="2154"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xml:space="preserve"> means any rights, warrants or options to subscribe for or purchase shares of Common Stock or Convertible Securities.</w:t>
      </w:r>
    </w:p>
    <w:p>
      <w:pPr>
        <w:pStyle w:val="TextBody"/>
        <w:bidi w:val="0"/>
        <w:spacing w:before="0" w:after="0"/>
        <w:ind w:left="1440" w:right="0" w:firstLine="714"/>
        <w:jc w:val="both"/>
        <w:rPr>
          <w:caps w:val="false"/>
          <w:smallCaps w:val="false"/>
        </w:rPr>
      </w:pPr>
      <w:r>
        <w:rPr>
          <w:caps w:val="false"/>
          <w:smallCaps w:val="false"/>
        </w:rPr>
        <w:t> </w:t>
      </w:r>
    </w:p>
    <w:p>
      <w:pPr>
        <w:pStyle w:val="TextBody"/>
        <w:bidi w:val="0"/>
        <w:spacing w:before="0" w:after="0"/>
        <w:ind w:left="1440" w:right="0" w:firstLine="714"/>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 Value”</w:t>
      </w:r>
      <w:r>
        <w:rPr>
          <w:rFonts w:ascii="Times New Roman;Times;Serif" w:hAnsi="Times New Roman;Times;Serif"/>
          <w:b w:val="false"/>
          <w:i w:val="false"/>
          <w:caps w:val="false"/>
          <w:smallCaps w:val="false"/>
          <w:sz w:val="20"/>
        </w:rPr>
        <w:t xml:space="preserve"> means the value of an Option based on the Black-Scholes Option Pricing model obtained from the “OV” function on Bloomberg determined as of (A) the Trading Day prior to the public announcement of the issuance of the applicable Option, if the issuance of such Option is publicly announced or (B) the Trading Day immediately following the issuance of the applicable Option if the issuance of such Option is not publicly announced, for pricing purposes and reflecting (i) a risk-free interest rate corresponding to the U.S. Treasury rate for a period equal to the remaining term of the applicable Option as of the applicable date of determination, (ii) an expected volatility equal to the </w:t>
      </w:r>
      <w:r>
        <w:rPr>
          <w:rFonts w:ascii="Times New Roman;Times;Serif" w:hAnsi="Times New Roman;Times;Serif"/>
          <w:b/>
          <w:i w:val="false"/>
          <w:caps w:val="false"/>
          <w:smallCaps w:val="false"/>
          <w:sz w:val="20"/>
          <w:u w:val="single"/>
        </w:rPr>
        <w:t>greater</w:t>
      </w:r>
      <w:r>
        <w:rPr>
          <w:rFonts w:ascii="Times New Roman;Times;Serif" w:hAnsi="Times New Roman;Times;Serif"/>
          <w:b w:val="false"/>
          <w:i w:val="false"/>
          <w:caps w:val="false"/>
          <w:smallCaps w:val="false"/>
          <w:sz w:val="20"/>
        </w:rPr>
        <w:t xml:space="preserve"> of 100% and the 100 day volatility obtained from the HVT function on Bloomberg as of (A) the Trading Day immediately following the public announcement of the applicable Option if the issuance of such Option is publicly announced or (B) the Trading Day immediately following the issuance of the applicable Option if the issuance of such Option is not publicly announced, (iii) the underlying price per share used in such calculation shall be the highest weighted average price of the Common Stock during the period beginning on the Trading Day prior to the execution of definitive documentation relating to the issuance of the applicable Option and ending on (A) the Trading Day immediately following the public announcement of such issuance, if the issuance of such Option is publicly announced or (B) the Trading Day immediately following the issuance of the applicable Option if the issuance of such Option is not publicly announced, (iv) a zero cost of borrow and (v) a 360 day annualization factor, </w:t>
      </w:r>
      <w:r>
        <w:rPr>
          <w:rFonts w:ascii="Times New Roman;Times;Serif" w:hAnsi="Times New Roman;Times;Serif"/>
          <w:b w:val="false"/>
          <w:i/>
          <w:caps w:val="false"/>
          <w:smallCaps w:val="false"/>
          <w:sz w:val="20"/>
          <w:u w:val="single"/>
        </w:rPr>
        <w:t>provided, however,</w:t>
      </w:r>
      <w:r>
        <w:rPr>
          <w:rFonts w:ascii="Times New Roman;Times;Serif" w:hAnsi="Times New Roman;Times;Serif"/>
          <w:b w:val="false"/>
          <w:i w:val="false"/>
          <w:caps w:val="false"/>
          <w:smallCaps w:val="false"/>
          <w:sz w:val="20"/>
        </w:rPr>
        <w:t xml:space="preserve"> in case any Option is issued in connection with the issue or sale of other securities of the Corporation, together comprising one integrated transaction, in no event shall the Option Value exceed a fraction of the aggregate consideration received (excluding the minimum aggregate amount of additional consideration (as set forth in the instruments relating thereto, without regard to any provision contained therein for a subsequent adjustment of such consideration) payable to the Corporation upon the exercise of such Options, or in the case of Options for Convertible Securities, the exercise of such Options for Convertible Securities and the conversion or exchange of such Convertible Securities) equal to (1) the number of shares of common stock underlying such Option divided by (2) the total number of shares of Common Stock issued or issuable in the integrated transaction (including the number of shares underlying such Option).</w:t>
      </w:r>
    </w:p>
    <w:p>
      <w:pPr>
        <w:pStyle w:val="TextBody"/>
        <w:bidi w:val="0"/>
        <w:spacing w:before="0" w:after="0"/>
        <w:ind w:left="1441" w:right="0" w:firstLine="720"/>
        <w:jc w:val="both"/>
        <w:rPr>
          <w:caps w:val="false"/>
          <w:smallCaps w:val="false"/>
        </w:rPr>
      </w:pPr>
      <w:r>
        <w:rPr>
          <w:caps w:val="false"/>
          <w:smallCaps w:val="false"/>
        </w:rPr>
        <w:t> </w:t>
      </w:r>
    </w:p>
    <w:p>
      <w:pPr>
        <w:pStyle w:val="TextBody"/>
        <w:bidi w:val="0"/>
        <w:spacing w:before="0" w:after="0"/>
        <w:ind w:left="1441"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441" w:right="0" w:firstLine="720"/>
        <w:jc w:val="both"/>
        <w:rPr>
          <w:caps w:val="false"/>
          <w:smallCaps w:val="false"/>
        </w:rPr>
      </w:pPr>
      <w:r>
        <w:rPr>
          <w:caps w:val="false"/>
          <w:smallCaps w:val="false"/>
        </w:rPr>
        <w:t> </w:t>
      </w:r>
    </w:p>
    <w:p>
      <w:pPr>
        <w:pStyle w:val="TextBody"/>
        <w:bidi w:val="0"/>
        <w:spacing w:before="0" w:after="0"/>
        <w:ind w:left="1441"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Original Issue Date” </w:t>
      </w:r>
      <w:r>
        <w:rPr>
          <w:rFonts w:ascii="Times New Roman;Times;Serif" w:hAnsi="Times New Roman;Times;Serif"/>
          <w:b w:val="false"/>
          <w:i w:val="false"/>
          <w:caps w:val="false"/>
          <w:smallCaps w:val="false"/>
          <w:sz w:val="20"/>
        </w:rPr>
        <w:t>means the date of the first issuance of any shares of the Preferred Stock regardless of the number of transfers of any particular shares of Preferred Stock and regardless of the number of certificates which may be issued to evidence such Preferred Stock.</w:t>
      </w:r>
    </w:p>
    <w:p>
      <w:pPr>
        <w:pStyle w:val="TextBody"/>
        <w:bidi w:val="0"/>
        <w:spacing w:before="0" w:after="0"/>
        <w:ind w:left="1444" w:right="0" w:firstLine="709"/>
        <w:jc w:val="both"/>
        <w:rPr>
          <w:caps w:val="false"/>
          <w:smallCaps w:val="false"/>
        </w:rPr>
      </w:pPr>
      <w:r>
        <w:rPr>
          <w:caps w:val="false"/>
          <w:smallCaps w:val="false"/>
        </w:rPr>
        <w:t> </w:t>
      </w:r>
    </w:p>
    <w:p>
      <w:pPr>
        <w:pStyle w:val="TextBody"/>
        <w:bidi w:val="0"/>
        <w:spacing w:before="0" w:after="0"/>
        <w:ind w:left="1444" w:right="0" w:firstLine="709"/>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Person” </w:t>
      </w:r>
      <w:r>
        <w:rPr>
          <w:rFonts w:ascii="Times New Roman;Times;Serif" w:hAnsi="Times New Roman;Times;Serif"/>
          <w:b w:val="false"/>
          <w:i w:val="false"/>
          <w:caps w:val="false"/>
          <w:smallCaps w:val="false"/>
          <w:sz w:val="20"/>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PIK Dividend”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1444" w:right="0" w:firstLine="709"/>
        <w:jc w:val="both"/>
        <w:rPr>
          <w:caps w:val="false"/>
          <w:smallCaps w:val="false"/>
        </w:rPr>
      </w:pPr>
      <w:r>
        <w:rPr>
          <w:caps w:val="false"/>
          <w:smallCaps w:val="false"/>
        </w:rPr>
        <w:t> </w:t>
      </w:r>
    </w:p>
    <w:p>
      <w:pPr>
        <w:pStyle w:val="TextBody"/>
        <w:bidi w:val="0"/>
        <w:spacing w:before="0" w:after="0"/>
        <w:ind w:left="1444" w:right="0" w:firstLine="709"/>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Preferred Stock Liquidation Amount” </w:t>
      </w:r>
      <w:r>
        <w:rPr>
          <w:rFonts w:ascii="Times New Roman;Times;Serif" w:hAnsi="Times New Roman;Times;Serif"/>
          <w:b w:val="false"/>
          <w:i w:val="false"/>
          <w:caps w:val="false"/>
          <w:smallCaps w:val="false"/>
          <w:sz w:val="20"/>
        </w:rPr>
        <w:t xml:space="preserve">shall have the meaning set forth in </w:t>
      </w:r>
      <w:r>
        <w:rPr>
          <w:rFonts w:ascii="Times New Roman;Times;Serif" w:hAnsi="Times New Roman;Times;Serif"/>
          <w:b w:val="false"/>
          <w:i w:val="false"/>
          <w:caps w:val="false"/>
          <w:smallCaps w:val="false"/>
          <w:sz w:val="20"/>
          <w:u w:val="single"/>
        </w:rPr>
        <w:t>Section 5(b)(ii)</w:t>
      </w:r>
      <w:r>
        <w:rPr>
          <w:rFonts w:ascii="Times New Roman;Times;Serif" w:hAnsi="Times New Roman;Times;Serif"/>
          <w:b w:val="false"/>
          <w:i w:val="false"/>
          <w:caps w:val="false"/>
          <w:smallCaps w:val="false"/>
          <w:sz w:val="20"/>
        </w:rPr>
        <w:t>.</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Preferred Stock Register”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Purchase Agreements” </w:t>
      </w:r>
      <w:r>
        <w:rPr>
          <w:rFonts w:ascii="Times New Roman;Times;Serif" w:hAnsi="Times New Roman;Times;Serif"/>
          <w:b w:val="false"/>
          <w:i w:val="false"/>
          <w:caps w:val="false"/>
          <w:smallCaps w:val="false"/>
          <w:sz w:val="20"/>
        </w:rPr>
        <w:t>means the several Securities Purchase Agreements, between the Corporation and certain original Holders, as amended, modified or supplemented from time to time in accordance with their respective terms.</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7(d)</w:t>
      </w:r>
      <w:r>
        <w:rPr>
          <w:rFonts w:ascii="Times New Roman;Times;Serif" w:hAnsi="Times New Roman;Times;Serif"/>
          <w:b w:val="false"/>
          <w:i w:val="false"/>
          <w:caps w:val="false"/>
          <w:smallCaps w:val="false"/>
          <w:sz w:val="20"/>
        </w:rPr>
        <w:t>.</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8(b)(i)</w:t>
      </w:r>
      <w:r>
        <w:rPr>
          <w:rFonts w:ascii="Times New Roman;Times;Serif" w:hAnsi="Times New Roman;Times;Serif"/>
          <w:b w:val="false"/>
          <w:i w:val="false"/>
          <w:caps w:val="false"/>
          <w:smallCaps w:val="false"/>
          <w:sz w:val="20"/>
        </w:rPr>
        <w:t>.</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Request”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8(b)(i)</w:t>
      </w:r>
      <w:r>
        <w:rPr>
          <w:rFonts w:ascii="Times New Roman;Times;Serif" w:hAnsi="Times New Roman;Times;Serif"/>
          <w:b w:val="false"/>
          <w:i w:val="false"/>
          <w:caps w:val="false"/>
          <w:smallCaps w:val="false"/>
          <w:sz w:val="20"/>
        </w:rPr>
        <w:t>.</w:t>
      </w:r>
    </w:p>
    <w:p>
      <w:pPr>
        <w:pStyle w:val="TextBody"/>
        <w:bidi w:val="0"/>
        <w:spacing w:before="0" w:after="0"/>
        <w:ind w:left="1443" w:right="0" w:firstLine="710"/>
        <w:jc w:val="both"/>
        <w:rPr>
          <w:caps w:val="false"/>
          <w:smallCaps w:val="false"/>
        </w:rPr>
      </w:pPr>
      <w:r>
        <w:rPr>
          <w:caps w:val="false"/>
          <w:smallCaps w:val="false"/>
        </w:rPr>
        <w:t> </w:t>
      </w:r>
    </w:p>
    <w:p>
      <w:pPr>
        <w:pStyle w:val="TextBody"/>
        <w:bidi w:val="0"/>
        <w:spacing w:before="0" w:after="0"/>
        <w:ind w:left="1443" w:right="0" w:firstLine="71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Registration Rights Agreement” </w:t>
      </w:r>
      <w:r>
        <w:rPr>
          <w:rFonts w:ascii="Times New Roman;Times;Serif" w:hAnsi="Times New Roman;Times;Serif"/>
          <w:b w:val="false"/>
          <w:i w:val="false"/>
          <w:caps w:val="false"/>
          <w:smallCaps w:val="false"/>
          <w:sz w:val="20"/>
        </w:rPr>
        <w:t>means the Registration Rights Agreement, dated as of the Closing Date, among the Corporation, the original Holders and certain other securityholders of the Corporation.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Registration Statement” </w:t>
      </w:r>
      <w:r>
        <w:rPr>
          <w:rFonts w:ascii="Times New Roman;Times;Serif" w:hAnsi="Times New Roman;Times;Serif"/>
          <w:b w:val="false"/>
          <w:i w:val="false"/>
          <w:caps w:val="false"/>
          <w:smallCaps w:val="false"/>
          <w:sz w:val="20"/>
        </w:rPr>
        <w:t>means a registration statement meeting the requirements set forth in the Registration Rights Agreement and covering the resale of the Conversion Shares by each Holder as provided for in the Registration Rights Agreement, including the Initial Registration Statement (as defined in the Registration Rights Agreement) and any additional Registration Statements which may be required thereunder.</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4(c).</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Rule 144” </w:t>
      </w:r>
      <w:r>
        <w:rPr>
          <w:rFonts w:ascii="Times New Roman;Times;Serif" w:hAnsi="Times New Roman;Times;Serif"/>
          <w:b w:val="false"/>
          <w:i w:val="false"/>
          <w:caps w:val="false"/>
          <w:smallCaps w:val="false"/>
          <w:sz w:val="20"/>
        </w:rPr>
        <w:t>means Rule 144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Rule 424” </w:t>
      </w:r>
      <w:r>
        <w:rPr>
          <w:rFonts w:ascii="Times New Roman;Times;Serif" w:hAnsi="Times New Roman;Times;Serif"/>
          <w:b w:val="false"/>
          <w:i w:val="false"/>
          <w:caps w:val="false"/>
          <w:smallCaps w:val="false"/>
          <w:sz w:val="20"/>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1443" w:right="0" w:firstLine="711"/>
        <w:jc w:val="left"/>
        <w:rPr>
          <w:caps w:val="false"/>
          <w:smallCaps w:val="false"/>
        </w:rPr>
      </w:pPr>
      <w:r>
        <w:rPr>
          <w:caps w:val="false"/>
          <w:smallCaps w:val="false"/>
        </w:rPr>
        <w:t> </w:t>
      </w:r>
    </w:p>
    <w:p>
      <w:pPr>
        <w:pStyle w:val="TextBody"/>
        <w:bidi w:val="0"/>
        <w:spacing w:before="0" w:after="0"/>
        <w:ind w:left="1443" w:right="0" w:firstLine="711"/>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means the Securities Act of 1933, as amended, and the rules and regulations promulgated thereunder.</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Semi-Annual Dividend Date”</w:t>
      </w:r>
      <w:r>
        <w:rPr>
          <w:rFonts w:ascii="Times New Roman;Times;Serif" w:hAnsi="Times New Roman;Times;Serif"/>
          <w:b w:val="false"/>
          <w:i w:val="false"/>
          <w:caps w:val="false"/>
          <w:smallCaps w:val="false"/>
          <w:sz w:val="20"/>
        </w:rPr>
        <w:t xml:space="preserve"> shall mean June 1 and December 1 of each year.</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6(c)(i)</w:t>
      </w:r>
      <w:r>
        <w:rPr>
          <w:rFonts w:ascii="Times New Roman;Times;Serif" w:hAnsi="Times New Roman;Times;Serif"/>
          <w:b w:val="false"/>
          <w:i w:val="false"/>
          <w:caps w:val="false"/>
          <w:smallCaps w:val="false"/>
          <w:sz w:val="20"/>
        </w:rPr>
        <w:t>.</w:t>
      </w:r>
    </w:p>
    <w:p>
      <w:pPr>
        <w:pStyle w:val="TextBody"/>
        <w:bidi w:val="0"/>
        <w:spacing w:before="0" w:after="0"/>
        <w:ind w:left="1444" w:right="0" w:firstLine="709"/>
        <w:jc w:val="left"/>
        <w:rPr>
          <w:caps w:val="false"/>
          <w:smallCaps w:val="false"/>
        </w:rPr>
      </w:pPr>
      <w:r>
        <w:rPr>
          <w:caps w:val="false"/>
          <w:smallCaps w:val="false"/>
        </w:rPr>
        <w:t> </w:t>
      </w:r>
    </w:p>
    <w:p>
      <w:pPr>
        <w:pStyle w:val="TextBody"/>
        <w:bidi w:val="0"/>
        <w:spacing w:before="0" w:after="0"/>
        <w:ind w:left="1444" w:right="0" w:firstLine="709"/>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Standard Settlement Period” </w:t>
      </w:r>
      <w:r>
        <w:rPr>
          <w:rFonts w:ascii="Times New Roman;Times;Serif" w:hAnsi="Times New Roman;Times;Serif"/>
          <w:b w:val="false"/>
          <w:i w:val="false"/>
          <w:caps w:val="false"/>
          <w:smallCaps w:val="false"/>
          <w:sz w:val="20"/>
        </w:rPr>
        <w:t xml:space="preserve">shall have the meaning set forth in </w:t>
      </w:r>
      <w:r>
        <w:rPr>
          <w:rFonts w:ascii="Times New Roman;Times;Serif" w:hAnsi="Times New Roman;Times;Serif"/>
          <w:b w:val="false"/>
          <w:i w:val="false"/>
          <w:caps w:val="false"/>
          <w:smallCaps w:val="false"/>
          <w:sz w:val="20"/>
          <w:u w:val="single"/>
        </w:rPr>
        <w:t>Section 6(c)(i)</w:t>
      </w:r>
      <w:r>
        <w:rPr>
          <w:rFonts w:ascii="Times New Roman;Times;Serif" w:hAnsi="Times New Roman;Times;Serif"/>
          <w:b w:val="false"/>
          <w:i w:val="false"/>
          <w:caps w:val="false"/>
          <w:smallCaps w:val="false"/>
          <w:sz w:val="20"/>
        </w:rPr>
        <w:t>.</w:t>
      </w:r>
    </w:p>
    <w:p>
      <w:pPr>
        <w:pStyle w:val="TextBody"/>
        <w:bidi w:val="0"/>
        <w:spacing w:before="0" w:after="0"/>
        <w:ind w:left="2154" w:right="0" w:hanging="0"/>
        <w:jc w:val="left"/>
        <w:rPr>
          <w:caps w:val="false"/>
          <w:smallCaps w:val="false"/>
        </w:rPr>
      </w:pPr>
      <w:r>
        <w:rPr>
          <w:caps w:val="false"/>
          <w:smallCaps w:val="false"/>
        </w:rPr>
        <w:t> </w:t>
      </w:r>
    </w:p>
    <w:p>
      <w:pPr>
        <w:pStyle w:val="TextBody"/>
        <w:bidi w:val="0"/>
        <w:spacing w:before="0" w:after="0"/>
        <w:ind w:left="2154"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Stated Value”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w:t>
      </w:r>
    </w:p>
    <w:p>
      <w:pPr>
        <w:pStyle w:val="TextBody"/>
        <w:bidi w:val="0"/>
        <w:spacing w:before="0" w:after="0"/>
        <w:ind w:left="2154" w:right="0" w:hanging="0"/>
        <w:jc w:val="both"/>
        <w:rPr>
          <w:caps w:val="false"/>
          <w:smallCaps w:val="false"/>
        </w:rPr>
      </w:pPr>
      <w:r>
        <w:rPr>
          <w:caps w:val="false"/>
          <w:smallCaps w:val="false"/>
        </w:rPr>
        <w:t> </w:t>
      </w:r>
    </w:p>
    <w:p>
      <w:pPr>
        <w:pStyle w:val="TextBody"/>
        <w:bidi w:val="0"/>
        <w:spacing w:before="0" w:after="0"/>
        <w:ind w:left="2154"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Subsidiary” </w:t>
      </w:r>
      <w:r>
        <w:rPr>
          <w:rFonts w:ascii="Times New Roman;Times;Serif" w:hAnsi="Times New Roman;Times;Serif"/>
          <w:b w:val="false"/>
          <w:i w:val="false"/>
          <w:caps w:val="false"/>
          <w:smallCaps w:val="false"/>
          <w:sz w:val="20"/>
        </w:rPr>
        <w:t>means any subsidiary of the Corporation as of the Closing Date.</w:t>
      </w:r>
    </w:p>
    <w:p>
      <w:pPr>
        <w:pStyle w:val="TextBody"/>
        <w:bidi w:val="0"/>
        <w:spacing w:before="0" w:after="0"/>
        <w:ind w:left="2154" w:right="0" w:hanging="0"/>
        <w:jc w:val="both"/>
        <w:rPr>
          <w:caps w:val="false"/>
          <w:smallCaps w:val="false"/>
        </w:rPr>
      </w:pPr>
      <w:r>
        <w:rPr>
          <w:caps w:val="false"/>
          <w:smallCaps w:val="false"/>
        </w:rPr>
        <w:t> </w:t>
      </w:r>
    </w:p>
    <w:p>
      <w:pPr>
        <w:pStyle w:val="TextBody"/>
        <w:bidi w:val="0"/>
        <w:spacing w:before="0" w:after="0"/>
        <w:ind w:left="2154"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7(f)(iii).</w:t>
      </w:r>
    </w:p>
    <w:p>
      <w:pPr>
        <w:pStyle w:val="TextBody"/>
        <w:bidi w:val="0"/>
        <w:spacing w:before="0" w:after="0"/>
        <w:ind w:left="1445" w:right="0" w:firstLine="708"/>
        <w:jc w:val="left"/>
        <w:rPr>
          <w:caps w:val="false"/>
          <w:smallCaps w:val="false"/>
        </w:rPr>
      </w:pPr>
      <w:r>
        <w:rPr>
          <w:caps w:val="false"/>
          <w:smallCaps w:val="false"/>
        </w:rPr>
        <w:t> </w:t>
      </w:r>
    </w:p>
    <w:p>
      <w:pPr>
        <w:pStyle w:val="TextBody"/>
        <w:bidi w:val="0"/>
        <w:spacing w:before="0" w:after="0"/>
        <w:ind w:left="1445" w:right="0" w:firstLine="708"/>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Trading Day” </w:t>
      </w:r>
      <w:r>
        <w:rPr>
          <w:rFonts w:ascii="Times New Roman;Times;Serif" w:hAnsi="Times New Roman;Times;Serif"/>
          <w:b w:val="false"/>
          <w:i w:val="false"/>
          <w:caps w:val="false"/>
          <w:smallCaps w:val="false"/>
          <w:sz w:val="20"/>
        </w:rPr>
        <w:t>means a day on which the principal Trading Market is open for business.</w:t>
      </w:r>
    </w:p>
    <w:p>
      <w:pPr>
        <w:pStyle w:val="TextBody"/>
        <w:bidi w:val="0"/>
        <w:spacing w:before="0" w:after="0"/>
        <w:ind w:left="1442" w:right="0" w:firstLine="711"/>
        <w:jc w:val="both"/>
        <w:rPr>
          <w:caps w:val="false"/>
          <w:smallCaps w:val="false"/>
        </w:rPr>
      </w:pPr>
      <w:r>
        <w:rPr>
          <w:caps w:val="false"/>
          <w:smallCaps w:val="false"/>
        </w:rPr>
        <w:t> </w:t>
      </w:r>
    </w:p>
    <w:p>
      <w:pPr>
        <w:pStyle w:val="TextBody"/>
        <w:bidi w:val="0"/>
        <w:spacing w:before="0" w:after="0"/>
        <w:ind w:left="1442" w:right="0" w:firstLine="711"/>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Trading Market” </w:t>
      </w:r>
      <w:r>
        <w:rPr>
          <w:rFonts w:ascii="Times New Roman;Times;Serif" w:hAnsi="Times New Roman;Times;Serif"/>
          <w:b w:val="false"/>
          <w:i w:val="false"/>
          <w:caps w:val="false"/>
          <w:smallCaps w:val="false"/>
          <w:sz w:val="20"/>
        </w:rPr>
        <w:t>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spacing w:before="0" w:after="0"/>
        <w:ind w:left="1443" w:right="0" w:firstLine="711"/>
        <w:jc w:val="both"/>
        <w:rPr>
          <w:caps w:val="false"/>
          <w:smallCaps w:val="false"/>
        </w:rPr>
      </w:pPr>
      <w:r>
        <w:rPr>
          <w:caps w:val="false"/>
          <w:smallCaps w:val="false"/>
        </w:rPr>
        <w:t> </w:t>
      </w:r>
    </w:p>
    <w:p>
      <w:pPr>
        <w:pStyle w:val="TextBody"/>
        <w:bidi w:val="0"/>
        <w:spacing w:before="0" w:after="0"/>
        <w:ind w:left="1443" w:right="0" w:firstLine="711"/>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Transfer Agent” </w:t>
      </w:r>
      <w:r>
        <w:rPr>
          <w:rFonts w:ascii="Times New Roman;Times;Serif" w:hAnsi="Times New Roman;Times;Serif"/>
          <w:b w:val="false"/>
          <w:i w:val="false"/>
          <w:caps w:val="false"/>
          <w:smallCaps w:val="false"/>
          <w:sz w:val="20"/>
        </w:rPr>
        <w:t>means Continental Stock Transfer &amp; Trust Company, the current transfer agent of the Corporation, and any successor transfer agent of the Corporation.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VWAP” </w:t>
      </w:r>
      <w:r>
        <w:rPr>
          <w:rFonts w:ascii="Times New Roman;Times;Serif" w:hAnsi="Times New Roman;Times;Serif"/>
          <w:b w:val="false"/>
          <w:i w:val="false"/>
          <w:caps w:val="false"/>
          <w:smallCaps w:val="false"/>
          <w:sz w:val="20"/>
        </w:rPr>
        <w:t>means, for any date, the price determined by the first of the following clauses that applies: (a) if the Common Stock is then listed or quoted on a Trading Market, the average of the daily volume weighted average price of the Common Stock for each of the 20 Trading Days preceding such date (or the nearest preceding date) on the Trading Market on which the Common Stock is then listed or quoted as reported by Bloomberg L.P. (based on a Trading Day from 9:30 a.m. (New York City time) to 4:02 p.m. (New York City time)), (b) if OTCQB or OTCQX is not a Trading Market, the average of the daily volume weighted average price of the Common Stock for each of the 20 Trading Days preceding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average of the highest closing bid price and the lowest closing ask price of the Common Stock for the 20 Trading Days preceding such date, or (d) in all other cases, the fair market value of a share of Common Stock as determined by an independent appraiser selected in good faith by the Holders of a majority in interest of the Preferred Stock then outstanding and reasonably acceptable to the Corporation, the fees and expenses of which shall be paid by the Corporation.</w:t>
      </w:r>
    </w:p>
    <w:p>
      <w:pPr>
        <w:pStyle w:val="TextBody"/>
        <w:bidi w:val="0"/>
        <w:spacing w:before="0" w:after="0"/>
        <w:ind w:left="2166" w:right="0" w:hanging="0"/>
        <w:jc w:val="left"/>
        <w:rPr>
          <w:caps w:val="false"/>
          <w:smallCaps w:val="false"/>
        </w:rPr>
      </w:pPr>
      <w:r>
        <w:rPr>
          <w:caps w:val="false"/>
          <w:smallCaps w:val="false"/>
        </w:rPr>
        <w:t> </w:t>
      </w:r>
    </w:p>
    <w:p>
      <w:pPr>
        <w:pStyle w:val="TextBody"/>
        <w:bidi w:val="0"/>
        <w:spacing w:before="0" w:after="0"/>
        <w:ind w:left="216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2166" w:right="0" w:hanging="0"/>
        <w:jc w:val="left"/>
        <w:rPr>
          <w:caps w:val="false"/>
          <w:smallCaps w:val="false"/>
        </w:rPr>
      </w:pPr>
      <w:r>
        <w:rPr>
          <w:caps w:val="false"/>
          <w:smallCaps w:val="false"/>
        </w:rPr>
        <w:t> </w:t>
      </w:r>
    </w:p>
    <w:p>
      <w:pPr>
        <w:pStyle w:val="TextBody"/>
        <w:bidi w:val="0"/>
        <w:spacing w:before="0" w:after="0"/>
        <w:ind w:left="216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Designation, Amount and Par Value.</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series of preferred stock shall be designated as its “12.0% Series A Cumulative Convertible Preferred Stock” (the “</w:t>
      </w:r>
      <w:r>
        <w:rPr>
          <w:rFonts w:ascii="Times New Roman;Times;Serif" w:hAnsi="Times New Roman;Times;Serif"/>
          <w:b/>
          <w:i w:val="false"/>
          <w:caps w:val="false"/>
          <w:smallCaps w:val="false"/>
          <w:sz w:val="20"/>
        </w:rPr>
        <w:t xml:space="preserve">Preferred Stock”) </w:t>
      </w:r>
      <w:r>
        <w:rPr>
          <w:rFonts w:ascii="Times New Roman;Times;Serif" w:hAnsi="Times New Roman;Times;Serif"/>
          <w:b w:val="false"/>
          <w:i w:val="false"/>
          <w:caps w:val="false"/>
          <w:smallCaps w:val="false"/>
          <w:sz w:val="20"/>
        </w:rPr>
        <w:t>and the number of shares so designated shall be up to 26,000,000 (which shall not be subject to increase without the written consent of the holders of 50% of the then outstanding Preferred Stock (each, a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xml:space="preserve"> and collectively, the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 xml:space="preserve"> Each share of Preferred Stock shall have a par value of $0.0001 per share and a stated value equal to $12.00 (the “</w:t>
      </w:r>
      <w:r>
        <w:rPr>
          <w:rFonts w:ascii="Times New Roman;Times;Serif" w:hAnsi="Times New Roman;Times;Serif"/>
          <w:b/>
          <w:i w:val="false"/>
          <w:caps w:val="false"/>
          <w:smallCaps w:val="false"/>
          <w:sz w:val="20"/>
        </w:rPr>
        <w:t>Stated Value”).</w:t>
      </w:r>
    </w:p>
    <w:p>
      <w:pPr>
        <w:pStyle w:val="TextBody"/>
        <w:bidi w:val="0"/>
        <w:spacing w:before="0" w:after="0"/>
        <w:ind w:left="1440" w:right="0" w:firstLine="724"/>
        <w:jc w:val="both"/>
        <w:rPr>
          <w:caps w:val="false"/>
          <w:smallCaps w:val="false"/>
        </w:rPr>
      </w:pPr>
      <w:r>
        <w:rPr>
          <w:caps w:val="false"/>
          <w:smallCaps w:val="false"/>
        </w:rPr>
        <w:t> </w:t>
      </w:r>
    </w:p>
    <w:p>
      <w:pPr>
        <w:pStyle w:val="TextBody"/>
        <w:bidi w:val="0"/>
        <w:spacing w:before="0" w:after="0"/>
        <w:ind w:left="1440"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Corporation shall register, or cause its Transfer Agent to register, shares of the Preferred Stock upon records to be maintained by the Corporation or its Transfer Agent for that purpose (the “</w:t>
      </w:r>
      <w:r>
        <w:rPr>
          <w:rFonts w:ascii="Times New Roman;Times;Serif" w:hAnsi="Times New Roman;Times;Serif"/>
          <w:b/>
          <w:i w:val="false"/>
          <w:caps w:val="false"/>
          <w:smallCaps w:val="false"/>
          <w:sz w:val="20"/>
        </w:rPr>
        <w:t xml:space="preserve">Preferred Stock Register”), </w:t>
      </w:r>
      <w:r>
        <w:rPr>
          <w:rFonts w:ascii="Times New Roman;Times;Serif" w:hAnsi="Times New Roman;Times;Serif"/>
          <w:b w:val="false"/>
          <w:i w:val="false"/>
          <w:caps w:val="false"/>
          <w:smallCaps w:val="false"/>
          <w:sz w:val="20"/>
        </w:rPr>
        <w:t>in the name of the Holders thereof from time to time. The Corporation may deem and treat the registered Holder of shares of Preferred Stock as the absolute owner thereof for the purpose of any conversion thereof and for all other purposes. The Corporation shall register, or cause its Transfer Agent to register, the transfer of any shares of Preferred Stock in the Preferred Stock Register, upon surrender of the certificates evidencing such shares to be transferred, duly endorsed by the Holder thereof, to the Corporation at its address specified herein and after such Holder shall have provided to the Corporation such documentation and legal opinions, if any, as may be reasonably requested by the Corporation (including any documentation required by the Transfer Agent with respect to such transfer). Upon the registration of such transfer, a new certificate (to the extent such shares are certificated) evidencing the shares of Preferred Stock so transferred shall be issued to the transferee and a new certificate evidencing the remaining portion of the shares not so transferred, if any, shall be issued to the transferring Holder, in each case, within three Business Days. The Board of Directors may provide by resolution or resolutions that some or all of the Preferred Stock shall be uncertificated shares. The Corporation shall not be required to register, or cause its Transfer Agent to register, or record any transfer of any shares of the Preferred Stock that would violate, conflict with, or fail to be in compliance with federal or state securities laws.</w:t>
      </w:r>
    </w:p>
    <w:p>
      <w:pPr>
        <w:pStyle w:val="TextBody"/>
        <w:bidi w:val="0"/>
        <w:spacing w:before="0" w:after="0"/>
        <w:ind w:left="2166" w:right="0" w:hanging="0"/>
        <w:jc w:val="left"/>
        <w:rPr>
          <w:caps w:val="false"/>
          <w:smallCaps w:val="false"/>
        </w:rPr>
      </w:pPr>
      <w:r>
        <w:rPr>
          <w:caps w:val="false"/>
          <w:smallCaps w:val="false"/>
        </w:rPr>
        <w:t> </w:t>
      </w:r>
    </w:p>
    <w:p>
      <w:pPr>
        <w:pStyle w:val="TextBody"/>
        <w:bidi w:val="0"/>
        <w:spacing w:before="0" w:after="0"/>
        <w:ind w:left="216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Dividends.</w:t>
      </w:r>
    </w:p>
    <w:p>
      <w:pPr>
        <w:pStyle w:val="TextBody"/>
        <w:bidi w:val="0"/>
        <w:spacing w:before="0" w:after="0"/>
        <w:ind w:left="2166" w:right="0" w:hanging="0"/>
        <w:jc w:val="left"/>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and after the Closing, subject to the terms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cumulative dividends shall accrue on the Accrued Value of each share of Preferred Stock at the Annual Rate. Dividends on each share of Preferred Stock shall be cumulative and shall accrue daily from and after the Closing, but shall compound on a semi-annual basis on each Semi-Annual Dividend Date (each, an “</w:t>
      </w:r>
      <w:r>
        <w:rPr>
          <w:rFonts w:ascii="Times New Roman;Times;Serif" w:hAnsi="Times New Roman;Times;Serif"/>
          <w:b/>
          <w:i w:val="false"/>
          <w:caps w:val="false"/>
          <w:smallCaps w:val="false"/>
          <w:sz w:val="20"/>
        </w:rPr>
        <w:t xml:space="preserve">Accrued Dividend”) </w:t>
      </w:r>
      <w:r>
        <w:rPr>
          <w:rFonts w:ascii="Times New Roman;Times;Serif" w:hAnsi="Times New Roman;Times;Serif"/>
          <w:b w:val="false"/>
          <w:i w:val="false"/>
          <w:caps w:val="false"/>
          <w:smallCaps w:val="false"/>
          <w:sz w:val="20"/>
        </w:rPr>
        <w:t>whether or not earned or declared, and whether or not there are earnings or profits, surplus, or other funds or assets of the Corporation legally available for the payment of dividends. Each Accrued Dividend shall be paid, at the election of the Corporation, (i) in cash (a “</w:t>
      </w:r>
      <w:r>
        <w:rPr>
          <w:rFonts w:ascii="Times New Roman;Times;Serif" w:hAnsi="Times New Roman;Times;Serif"/>
          <w:b/>
          <w:i w:val="false"/>
          <w:caps w:val="false"/>
          <w:smallCaps w:val="false"/>
          <w:sz w:val="20"/>
        </w:rPr>
        <w:t xml:space="preserve">Cash Dividend”), </w:t>
      </w:r>
      <w:r>
        <w:rPr>
          <w:rFonts w:ascii="Times New Roman;Times;Serif" w:hAnsi="Times New Roman;Times;Serif"/>
          <w:b w:val="false"/>
          <w:i w:val="false"/>
          <w:caps w:val="false"/>
          <w:smallCaps w:val="false"/>
          <w:sz w:val="20"/>
        </w:rPr>
        <w:t>or (ii) in kind by increasing the Accrued Value of such share (a “</w:t>
      </w:r>
      <w:r>
        <w:rPr>
          <w:rFonts w:ascii="Times New Roman;Times;Serif" w:hAnsi="Times New Roman;Times;Serif"/>
          <w:b/>
          <w:i w:val="false"/>
          <w:caps w:val="false"/>
          <w:smallCaps w:val="false"/>
          <w:sz w:val="20"/>
        </w:rPr>
        <w:t>PIK Dividend”).</w:t>
      </w:r>
    </w:p>
    <w:p>
      <w:pPr>
        <w:pStyle w:val="TextBody"/>
        <w:bidi w:val="0"/>
        <w:spacing w:before="0" w:after="0"/>
        <w:ind w:left="1442" w:right="0" w:firstLine="1"/>
        <w:jc w:val="both"/>
        <w:rPr>
          <w:caps w:val="false"/>
          <w:smallCaps w:val="false"/>
        </w:rPr>
      </w:pPr>
      <w:r>
        <w:rPr>
          <w:caps w:val="false"/>
          <w:smallCaps w:val="false"/>
        </w:rPr>
        <w:t> </w:t>
      </w:r>
    </w:p>
    <w:p>
      <w:pPr>
        <w:pStyle w:val="TextBody"/>
        <w:bidi w:val="0"/>
        <w:spacing w:before="0" w:after="0"/>
        <w:ind w:left="1442" w:right="0" w:firstLine="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1442" w:right="0" w:firstLine="1"/>
        <w:jc w:val="both"/>
        <w:rPr>
          <w:caps w:val="false"/>
          <w:smallCaps w:val="false"/>
        </w:rPr>
      </w:pPr>
      <w:r>
        <w:rPr>
          <w:caps w:val="false"/>
          <w:smallCaps w:val="false"/>
        </w:rPr>
        <w:t> </w:t>
      </w:r>
    </w:p>
    <w:p>
      <w:pPr>
        <w:pStyle w:val="TextBody"/>
        <w:bidi w:val="0"/>
        <w:spacing w:before="0" w:after="0"/>
        <w:ind w:left="1440"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Corporation shall not declare, pay or set aside any dividends on shares of any other class or series of capital stock of the Corporation ranking junior to the Preferred Stock (other than dividends on shares of Common Stock payable in shares of Common Stock) unless (in addition to the obtaining of any consents required in this Certificate of Designation or the Corporation’s certificate of incorporation) the Holders of the Preferred Stock then outstanding shall first receive, or simultaneously receive, a dividend on each outstanding share of Preferred Stock in an amount at least equal to the sum of (i) the amount of the aggregate Accrued Dividends then accrued on such share of Preferred Stock and not previously paid and (ii) (A) in the case of a dividend on Common Stock or any class or series that is convertible into Common Stock, that dividend per share of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A Cumulative Convertible Preferred Stock, in each case calculated on the record date for determination of holders entitled to receive such dividend or (B) in the case of a dividend on any class or series of capital stock of the Corporation ranking junior to the Preferred Stock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Accrued Value; provided that if the Corporation declares, pays or sets aside, on the same date, a dividend on shares of more than one class or series of capital stock of the Corporation that is junior to the Preferred Stock, the dividend payable to the Holders of Preferred Stock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be calculated based upon the dividend on the class or series of capital stock that would result in the highest Preferred Stock dividend.</w:t>
      </w:r>
    </w:p>
    <w:p>
      <w:pPr>
        <w:pStyle w:val="TextBody"/>
        <w:bidi w:val="0"/>
        <w:spacing w:before="0" w:after="0"/>
        <w:ind w:left="1443" w:right="0" w:firstLine="720"/>
        <w:jc w:val="both"/>
        <w:rPr>
          <w:caps w:val="false"/>
          <w:smallCaps w:val="false"/>
        </w:rPr>
      </w:pPr>
      <w:r>
        <w:rPr>
          <w:caps w:val="false"/>
          <w:smallCaps w:val="false"/>
        </w:rPr>
        <w:t> </w:t>
      </w:r>
    </w:p>
    <w:p>
      <w:pPr>
        <w:pStyle w:val="TextBody"/>
        <w:bidi w:val="0"/>
        <w:spacing w:before="0" w:after="0"/>
        <w:ind w:left="1443"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the Holders shall be entitled to receive, and the Corporation shall pay, dividends on shares of Preferred Stock (other than Accrued Dividends), on an as-converted basis, equal to and in the same form as dividends actually paid on shares of the Common Stock when, as and if such dividends are paid on shares of the Common Stock.</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herein, to the extent that the Holder’s right to participate in any dividend would result in the Holder exceeding the Beneficial Ownership Limitation, then the Holder shall not be entitled to participate in such dividend to such extent (or in the beneficial ownership of any shares of Common Stock as a result of such Distribution to such extent) and the portion of such dividend shall be held in abeyance for the benefit of the Holder until such time, if ever, such grant, issuance or sale, as its right thereto would not result in the Holder exceeding the Beneficial Ownership Limitation.</w:t>
      </w:r>
    </w:p>
    <w:p>
      <w:pPr>
        <w:pStyle w:val="TextBody"/>
        <w:bidi w:val="0"/>
        <w:spacing w:before="0" w:after="0"/>
        <w:ind w:left="2166" w:right="0" w:hanging="0"/>
        <w:jc w:val="left"/>
        <w:rPr>
          <w:caps w:val="false"/>
          <w:smallCaps w:val="false"/>
        </w:rPr>
      </w:pPr>
      <w:r>
        <w:rPr>
          <w:caps w:val="false"/>
          <w:smallCaps w:val="false"/>
        </w:rPr>
        <w:t> </w:t>
      </w:r>
    </w:p>
    <w:p>
      <w:pPr>
        <w:pStyle w:val="TextBody"/>
        <w:bidi w:val="0"/>
        <w:spacing w:before="0" w:after="0"/>
        <w:ind w:left="216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2166" w:right="0" w:hanging="0"/>
        <w:jc w:val="left"/>
        <w:rPr>
          <w:caps w:val="false"/>
          <w:smallCaps w:val="false"/>
        </w:rPr>
      </w:pPr>
      <w:r>
        <w:rPr>
          <w:caps w:val="false"/>
          <w:smallCaps w:val="false"/>
        </w:rPr>
        <w:t> </w:t>
      </w:r>
    </w:p>
    <w:p>
      <w:pPr>
        <w:pStyle w:val="TextBody"/>
        <w:bidi w:val="0"/>
        <w:spacing w:before="0" w:after="0"/>
        <w:ind w:left="216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Voting Rights.</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Holders shall be entitled to notice of any meeting of stockholders of the Corporation and, except as otherwise required by law or as may be provided herein, shall vote together with the holders of Common Stock as a single class upon any matter submitted to the stockholders for a vote.</w:t>
      </w:r>
    </w:p>
    <w:p>
      <w:pPr>
        <w:pStyle w:val="TextBody"/>
        <w:bidi w:val="0"/>
        <w:spacing w:before="0" w:after="0"/>
        <w:ind w:left="1440" w:right="0" w:firstLine="724"/>
        <w:jc w:val="both"/>
        <w:rPr>
          <w:caps w:val="false"/>
          <w:smallCaps w:val="false"/>
        </w:rPr>
      </w:pPr>
      <w:r>
        <w:rPr>
          <w:caps w:val="false"/>
          <w:smallCaps w:val="false"/>
        </w:rPr>
        <w:t> </w:t>
      </w:r>
    </w:p>
    <w:p>
      <w:pPr>
        <w:pStyle w:val="TextBody"/>
        <w:bidi w:val="0"/>
        <w:spacing w:before="0" w:after="0"/>
        <w:ind w:left="1440"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 any matter presented to the stockholders of the Corporation for their action or consideration at any meeting of the stockholders of the Corporation (or by written consent in lieu of a meeting), a Holder, together with its Attribution Parties, shall be entitled to the number of votes equal to the number of whole shares of Common Stock into which the shares of Preferred Stock held by such Holder, together with its Attribution Parties, as are convertible on the record date for determining stockholders entitled to vote on such matter (as adjusted from time to time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hereof and subject to the Beneficial Ownership Limitation), but without regard as to whether sufficient shares of Common Stock are available out of the Corporation’s authorized by unissued stock, for the purpose of effecting the conversion of the Preferred Stock.</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long as at least 20% or more of the shares of Preferred Stock issued as of the Closing are outstanding, the Corporation shall not, without the affirmative vote or action by written consent of the Holders of a majority of the issued and outstanding shares of the Preferred Stock (the “</w:t>
      </w:r>
      <w:r>
        <w:rPr>
          <w:rFonts w:ascii="Times New Roman;Times;Serif" w:hAnsi="Times New Roman;Times;Serif"/>
          <w:b/>
          <w:i w:val="false"/>
          <w:caps w:val="false"/>
          <w:smallCaps w:val="false"/>
          <w:sz w:val="20"/>
        </w:rPr>
        <w:t>Required Holders”):</w:t>
      </w:r>
    </w:p>
    <w:p>
      <w:pPr>
        <w:pStyle w:val="TextBody"/>
        <w:bidi w:val="0"/>
        <w:spacing w:before="0" w:after="0"/>
        <w:ind w:left="3609" w:right="0" w:hanging="724"/>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liquidate, dissolve or wind-up the affairs of the Corporation;</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165"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amend, alter or repeal the Corporation’s certificate of incorporation or bylaws, this Certificate of Designation or any similar document of the Corporation in a manner that materially and adversely affects the powers, preferences or rights given to the Preferred Stock;</w:t>
      </w:r>
    </w:p>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create any equity security, authorize the creation of any equity security, classify any equity security, reclassify any equity security, or issue any other security convertible into or exercisable for any equity security, unless such security ranks junior to the Preferred Stock with respect to its rights, preferences and privileges or increase the number of authorized shares of Preferred Stock;</w:t>
      </w:r>
    </w:p>
    <w:p>
      <w:pPr>
        <w:pStyle w:val="TextBody"/>
        <w:bidi w:val="0"/>
        <w:spacing w:before="0" w:after="0"/>
        <w:ind w:left="2162" w:right="0" w:firstLine="722"/>
        <w:jc w:val="both"/>
        <w:rPr>
          <w:caps w:val="false"/>
          <w:smallCaps w:val="false"/>
        </w:rPr>
      </w:pPr>
      <w:r>
        <w:rPr>
          <w:caps w:val="false"/>
          <w:smallCaps w:val="false"/>
        </w:rPr>
        <w:t> </w:t>
      </w:r>
    </w:p>
    <w:p>
      <w:pPr>
        <w:pStyle w:val="TextBody"/>
        <w:bidi w:val="0"/>
        <w:spacing w:before="0" w:after="0"/>
        <w:ind w:left="2162" w:right="0" w:firstLine="7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purchase or redeem or pay any cash dividend on any capital stock of the Corporation ranking junior to the Preferred Stock prior to payment of such cash dividend on the Preferred Stock or purchase or redeem any capital stock of the Corporation ranking junior to the Preferred Stock, other than capital stock repurchased at cost from former employees and consultants in connection with the cessation of their service or pursuant to the terms of any equity incentive plan of the Corporation;</w:t>
      </w:r>
    </w:p>
    <w:p>
      <w:pPr>
        <w:pStyle w:val="TextBody"/>
        <w:bidi w:val="0"/>
        <w:spacing w:before="0" w:after="0"/>
        <w:ind w:left="2162" w:right="0" w:firstLine="722"/>
        <w:jc w:val="both"/>
        <w:rPr>
          <w:caps w:val="false"/>
          <w:smallCaps w:val="false"/>
        </w:rPr>
      </w:pPr>
      <w:r>
        <w:rPr>
          <w:caps w:val="false"/>
          <w:smallCaps w:val="false"/>
        </w:rPr>
        <w:t> </w:t>
      </w:r>
    </w:p>
    <w:p>
      <w:pPr>
        <w:pStyle w:val="TextBody"/>
        <w:bidi w:val="0"/>
        <w:spacing w:before="0" w:after="0"/>
        <w:ind w:left="2165"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enter into any transaction with an affiliate, other than the issuance of equity or awards to eligible participants under the Corporation’s incentive plan, equity plan or equity-based compensation plan or with respect to employment, consulting or award agreements with respect to executive officers of the Corporation, in each case regardless of whether such person (or such person’s affiliates) would be considered an affiliate of the Corporation; or</w:t>
      </w:r>
    </w:p>
    <w:p>
      <w:pPr>
        <w:pStyle w:val="TextBody"/>
        <w:bidi w:val="0"/>
        <w:spacing w:before="0" w:after="0"/>
        <w:ind w:left="2164" w:right="0" w:firstLine="721"/>
        <w:jc w:val="both"/>
        <w:rPr>
          <w:caps w:val="false"/>
          <w:smallCaps w:val="false"/>
        </w:rPr>
      </w:pPr>
      <w:r>
        <w:rPr>
          <w:caps w:val="false"/>
          <w:smallCaps w:val="false"/>
        </w:rPr>
        <w:t> </w:t>
      </w:r>
    </w:p>
    <w:p>
      <w:pPr>
        <w:pStyle w:val="TextBody"/>
        <w:bidi w:val="0"/>
        <w:spacing w:before="0" w:after="0"/>
        <w:ind w:left="2164"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incur or guarantee any indebtedness other than equipment leases or trade payables incurred in the ordinary course of business; </w:t>
      </w:r>
      <w:r>
        <w:rPr>
          <w:rFonts w:ascii="Times New Roman;Times;Serif" w:hAnsi="Times New Roman;Times;Serif"/>
          <w:b w:val="false"/>
          <w:i/>
          <w:caps w:val="false"/>
          <w:smallCaps w:val="false"/>
          <w:sz w:val="20"/>
          <w:u w:val="single"/>
        </w:rPr>
        <w:t>provided, however,</w:t>
      </w:r>
      <w:r>
        <w:rPr>
          <w:rFonts w:ascii="Times New Roman;Times;Serif" w:hAnsi="Times New Roman;Times;Serif"/>
          <w:b w:val="false"/>
          <w:i w:val="false"/>
          <w:caps w:val="false"/>
          <w:smallCaps w:val="false"/>
          <w:sz w:val="20"/>
        </w:rPr>
        <w:t xml:space="preserve"> that the Preferred Stock shall not be considered indebtedness for purposes of this calculation.</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herein,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xml:space="preserve"> may not be amended, modified or waived in any manner that materially and adversely affects a Holder of Preferred Stock without such Holder’s consent.</w:t>
      </w:r>
    </w:p>
    <w:p>
      <w:pPr>
        <w:pStyle w:val="TextBody"/>
        <w:bidi w:val="0"/>
        <w:spacing w:before="0" w:after="0"/>
        <w:ind w:left="2166" w:right="0" w:hanging="0"/>
        <w:jc w:val="both"/>
        <w:rPr>
          <w:caps w:val="false"/>
          <w:smallCaps w:val="false"/>
        </w:rPr>
      </w:pPr>
      <w:r>
        <w:rPr>
          <w:caps w:val="false"/>
          <w:smallCaps w:val="false"/>
        </w:rPr>
        <w:t> </w:t>
      </w:r>
    </w:p>
    <w:p>
      <w:pPr>
        <w:pStyle w:val="TextBody"/>
        <w:bidi w:val="0"/>
        <w:spacing w:before="0" w:after="0"/>
        <w:ind w:left="216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Ranking; Liquidation.</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Preferred Stock shall rank senior to all of the Common Stock and any other class or series of capital stock of the Corporation currently existing or hereafter authorized, classified or reclassified by the Corporation (collectively, “</w:t>
      </w:r>
      <w:r>
        <w:rPr>
          <w:rFonts w:ascii="Times New Roman;Times;Serif" w:hAnsi="Times New Roman;Times;Serif"/>
          <w:b/>
          <w:i w:val="false"/>
          <w:caps w:val="false"/>
          <w:smallCaps w:val="false"/>
          <w:sz w:val="20"/>
        </w:rPr>
        <w:t xml:space="preserve">Junior Securities”), </w:t>
      </w:r>
      <w:r>
        <w:rPr>
          <w:rFonts w:ascii="Times New Roman;Times;Serif" w:hAnsi="Times New Roman;Times;Serif"/>
          <w:b w:val="false"/>
          <w:i w:val="false"/>
          <w:caps w:val="false"/>
          <w:smallCaps w:val="false"/>
          <w:sz w:val="20"/>
        </w:rPr>
        <w:t>in each case, as to rights to receive dividends or to participate in distributions of assets or payments upon liquidation, dissolution or winding up of the Corporation, whether voluntarily or involuntarily.</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Preferential Payments to Holders of Preferred Stock; Distribution of Remaining Assets.</w:t>
      </w:r>
    </w:p>
    <w:p>
      <w:pPr>
        <w:pStyle w:val="TextBody"/>
        <w:bidi w:val="0"/>
        <w:spacing w:before="0" w:after="0"/>
        <w:ind w:left="2161" w:right="0" w:firstLine="723"/>
        <w:jc w:val="both"/>
        <w:rPr>
          <w:caps w:val="false"/>
          <w:smallCaps w:val="false"/>
        </w:rPr>
      </w:pPr>
      <w:r>
        <w:rPr>
          <w:caps w:val="false"/>
          <w:smallCaps w:val="false"/>
        </w:rPr>
        <w:t> </w:t>
      </w:r>
    </w:p>
    <w:p>
      <w:pPr>
        <w:pStyle w:val="TextBody"/>
        <w:bidi w:val="0"/>
        <w:spacing w:before="0" w:after="0"/>
        <w:ind w:left="2161"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the event of any voluntary or involuntary liquidation, dissolution or winding up of the Corporation, the Holders of shares of Preferred Stock then outstanding shall be entitled to be paid out of the assets of the Corporation available for distribution to its stockholders, and in the event of a Deemed Liquidation Event, the Holders of shares of Preferred Stock then outstanding shall be entitled to be paid out of the consideration payable to stockholders in such Deemed Liquidation Event or out of the Available Proceeds (as defined below), as applicable, before any payment shall be made to the holders of Common Stock or other Junior Securities by reason of their ownership thereof, an amount per share equal to the greater of (i) 100% of the Accrued Value on each share of Preferred Stock or (ii) such amount per share as would have been payable had all shares of Preferred Stock been converted into Common Stock pursuant to </w:t>
      </w:r>
      <w:r>
        <w:rPr>
          <w:rFonts w:ascii="Times New Roman;Times;Serif" w:hAnsi="Times New Roman;Times;Serif"/>
          <w:b w:val="false"/>
          <w:i w:val="false"/>
          <w:caps w:val="false"/>
          <w:smallCaps w:val="false"/>
          <w:sz w:val="20"/>
          <w:u w:val="single"/>
        </w:rPr>
        <w:t xml:space="preserve">Section 6 </w:t>
      </w:r>
      <w:r>
        <w:rPr>
          <w:rFonts w:ascii="Times New Roman;Times;Serif" w:hAnsi="Times New Roman;Times;Serif"/>
          <w:b w:val="false"/>
          <w:i w:val="false"/>
          <w:caps w:val="false"/>
          <w:smallCaps w:val="false"/>
          <w:sz w:val="20"/>
        </w:rPr>
        <w:t xml:space="preserve">immediately prior to such liquidation, dissolution, winding up or Deemed Liquidation Event based on the then effective rate of conversion and without giving effect to the Beneficial Ownership Limitation or any other limitations on conversion set forth herein.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the Holders of shares of Preferred Stock shall share ratably in any distribution of the assets available for distribution in proportion to the respective amounts that would otherwise be payable in respect of the shares held by them upon such distribution if all amounts payable on or with respect to such shares were paid in full.</w:t>
      </w:r>
    </w:p>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event of any voluntary or involuntary liquidation, dissolution or winding up of the Corporation, after the payment in full of all amounts required to be paid to the holders of shares of Preferred Stock pursuant to </w:t>
      </w:r>
      <w:r>
        <w:rPr>
          <w:rFonts w:ascii="Times New Roman;Times;Serif" w:hAnsi="Times New Roman;Times;Serif"/>
          <w:b w:val="false"/>
          <w:i w:val="false"/>
          <w:caps w:val="false"/>
          <w:smallCaps w:val="false"/>
          <w:sz w:val="20"/>
          <w:u w:val="single"/>
        </w:rPr>
        <w:t>Section 5(b)(i),</w:t>
      </w:r>
      <w:r>
        <w:rPr>
          <w:rFonts w:ascii="Times New Roman;Times;Serif" w:hAnsi="Times New Roman;Times;Serif"/>
          <w:b w:val="false"/>
          <w:i w:val="false"/>
          <w:caps w:val="false"/>
          <w:smallCaps w:val="false"/>
          <w:sz w:val="20"/>
        </w:rPr>
        <w:t xml:space="preserve"> the remaining assets of the Corporation available for distribution to its stockholders or, in the case of a Deemed Liquidation Event, the consideration not payable to the holders of shares of Preferred Stock pursuant to </w:t>
      </w:r>
      <w:r>
        <w:rPr>
          <w:rFonts w:ascii="Times New Roman;Times;Serif" w:hAnsi="Times New Roman;Times;Serif"/>
          <w:b w:val="false"/>
          <w:i w:val="false"/>
          <w:caps w:val="false"/>
          <w:smallCaps w:val="false"/>
          <w:sz w:val="20"/>
          <w:u w:val="single"/>
        </w:rPr>
        <w:t>Section 5(b)(i)</w:t>
      </w:r>
      <w:r>
        <w:rPr>
          <w:rFonts w:ascii="Times New Roman;Times;Serif" w:hAnsi="Times New Roman;Times;Serif"/>
          <w:b w:val="false"/>
          <w:i w:val="false"/>
          <w:caps w:val="false"/>
          <w:smallCaps w:val="false"/>
          <w:sz w:val="20"/>
        </w:rPr>
        <w:t xml:space="preserve"> or the remaining Available Proceeds, as the case may be, shall be distributed among the holders of the shares of Preferred Stock and Common Stock, pro rata based on the number of shares held by each such holder, treating for this purpose all such securities as if they had been converted to Common Stock pursuant to the terms of this Certificate of Designation immediately prior to such liquidation, dissolution or winding up of the Corporation. The aggregate amount which a holder of a share of Preferred Stock is entitled to receive under </w:t>
      </w:r>
      <w:r>
        <w:rPr>
          <w:rFonts w:ascii="Times New Roman;Times;Serif" w:hAnsi="Times New Roman;Times;Serif"/>
          <w:b w:val="false"/>
          <w:i w:val="false"/>
          <w:caps w:val="false"/>
          <w:smallCaps w:val="false"/>
          <w:sz w:val="20"/>
          <w:u w:val="single"/>
        </w:rPr>
        <w:t>Sections 5(b)(i)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5(b)(ii)</w:t>
      </w:r>
      <w:r>
        <w:rPr>
          <w:rFonts w:ascii="Times New Roman;Times;Serif" w:hAnsi="Times New Roman;Times;Serif"/>
          <w:b w:val="false"/>
          <w:i w:val="false"/>
          <w:caps w:val="false"/>
          <w:smallCaps w:val="false"/>
          <w:sz w:val="20"/>
        </w:rPr>
        <w:t xml:space="preserve"> is hereinafter referred to as the “</w:t>
      </w:r>
      <w:r>
        <w:rPr>
          <w:rFonts w:ascii="Times New Roman;Times;Serif" w:hAnsi="Times New Roman;Times;Serif"/>
          <w:b/>
          <w:i w:val="false"/>
          <w:caps w:val="false"/>
          <w:smallCaps w:val="false"/>
          <w:sz w:val="20"/>
        </w:rPr>
        <w:t>Preferred Stock Liquidation Amount.”</w:t>
      </w:r>
    </w:p>
    <w:p>
      <w:pPr>
        <w:pStyle w:val="TextBody"/>
        <w:bidi w:val="0"/>
        <w:spacing w:before="0" w:after="0"/>
        <w:ind w:left="2882" w:right="0" w:hanging="71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916"/>
        <w:gridCol w:w="9163"/>
      </w:tblGrid>
      <w:tr>
        <w:trPr/>
        <w:tc>
          <w:tcPr>
            <w:tcW w:w="1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pPr>
            <w:r>
              <w:rPr/>
              <w:t>(c)</w:t>
            </w:r>
          </w:p>
        </w:tc>
        <w:tc>
          <w:tcPr>
            <w:tcW w:w="9163" w:type="dxa"/>
            <w:tcBorders/>
            <w:vAlign w:val="center"/>
          </w:tcPr>
          <w:p>
            <w:pPr>
              <w:pStyle w:val="TableContents"/>
              <w:bidi w:val="0"/>
              <w:spacing w:before="0" w:after="283"/>
              <w:jc w:val="both"/>
              <w:rPr>
                <w:u w:val="single"/>
              </w:rPr>
            </w:pPr>
            <w:r>
              <w:rPr>
                <w:u w:val="single"/>
              </w:rPr>
              <w:t>Deemed Liquidation Events.</w:t>
            </w:r>
          </w:p>
        </w:tc>
      </w:tr>
    </w:tbl>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a Deemed Liquidation Event, if the Corporation does not effect a dissolution of the Corporation under the Delaware General Corporation Law within ninety (90) days after such Deemed Liquidation Event, then (i) the Corporation shall send a written notice to each Holder of Preferred Stock no later than the ninetieth (90th) day after the Deemed Liquidation Event advising such Holders of their right (and the requirements to be met to secure such right) pursuant to the terms of the following clause to require the redemption of such shares of Preferred Stock, and (ii) if the Required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or any other expenses associated with the Deemed Liquidation Event or the dissolution of the Corporation, in each case as determined in good faith by the Board of Directors of the Corporation), together with any other assets of the Corporation available for distribution to its stockholders, all to the extent permitted by Delaware law governing distributions to stockholders (the “</w:t>
      </w:r>
      <w:r>
        <w:rPr>
          <w:rFonts w:ascii="Times New Roman;Times;Serif" w:hAnsi="Times New Roman;Times;Serif"/>
          <w:b/>
          <w:i w:val="false"/>
          <w:caps w:val="false"/>
          <w:smallCaps w:val="false"/>
          <w:sz w:val="20"/>
        </w:rPr>
        <w:t xml:space="preserve">Available Proceeds”), </w:t>
      </w:r>
      <w:r>
        <w:rPr>
          <w:rFonts w:ascii="Times New Roman;Times;Serif" w:hAnsi="Times New Roman;Times;Serif"/>
          <w:b w:val="false"/>
          <w:i w:val="false"/>
          <w:caps w:val="false"/>
          <w:smallCaps w:val="false"/>
          <w:sz w:val="20"/>
        </w:rPr>
        <w:t>on the one hundred fiftieth (150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such Deemed Liquidation Event, to redeem all outstanding shares of Preferred Stock at a price per share equal to the Preferred Stock Liquidation Amount.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that would otherwise be payable in respect of the shares to be redeemed if the Available Proceeds were sufficient to redeem all such shares, and shall redeem the remaining shares as soon as it may lawfully do so under Delaware law governing distributions to stockholders. The provisions of </w:t>
      </w:r>
      <w:r>
        <w:rPr>
          <w:rFonts w:ascii="Times New Roman;Times;Serif" w:hAnsi="Times New Roman;Times;Serif"/>
          <w:b w:val="false"/>
          <w:i w:val="false"/>
          <w:caps w:val="false"/>
          <w:smallCaps w:val="false"/>
          <w:sz w:val="24"/>
        </w:rPr>
        <w:t>(i)</w:t>
      </w:r>
      <w:r>
        <w:rPr>
          <w:rFonts w:ascii="Times New Roman;Times;Serif" w:hAnsi="Times New Roman;Times;Serif"/>
          <w:b w:val="false"/>
          <w:i w:val="false"/>
          <w:caps w:val="false"/>
          <w:smallCaps w:val="false"/>
          <w:sz w:val="20"/>
        </w:rPr>
        <w:t xml:space="preserve"> shall apply, with such necessary changes in the details thereof as are necessitated by the context, to the redemption of the Preferred Stock pursuant to this </w:t>
      </w:r>
      <w:r>
        <w:rPr>
          <w:rFonts w:ascii="Times New Roman;Times;Serif" w:hAnsi="Times New Roman;Times;Serif"/>
          <w:b w:val="false"/>
          <w:i w:val="false"/>
          <w:caps w:val="false"/>
          <w:smallCaps w:val="false"/>
          <w:sz w:val="20"/>
          <w:u w:val="single"/>
        </w:rPr>
        <w:t>Section 5(c)(i)</w:t>
      </w:r>
      <w:r>
        <w:rPr>
          <w:rFonts w:ascii="Times New Roman;Times;Serif" w:hAnsi="Times New Roman;Times;Serif"/>
          <w:b w:val="false"/>
          <w:i w:val="false"/>
          <w:caps w:val="false"/>
          <w:smallCaps w:val="false"/>
          <w:sz w:val="20"/>
        </w:rPr>
        <w:t xml:space="preserve">. Prior to the distribution or redemption provided for in this </w:t>
      </w:r>
      <w:r>
        <w:rPr>
          <w:rFonts w:ascii="Times New Roman;Times;Serif" w:hAnsi="Times New Roman;Times;Serif"/>
          <w:b w:val="false"/>
          <w:i w:val="false"/>
          <w:caps w:val="false"/>
          <w:smallCaps w:val="false"/>
          <w:sz w:val="20"/>
          <w:u w:val="single"/>
        </w:rPr>
        <w:t>Section 5(c)(i),</w:t>
      </w:r>
      <w:r>
        <w:rPr>
          <w:rFonts w:ascii="Times New Roman;Times;Serif" w:hAnsi="Times New Roman;Times;Serif"/>
          <w:b w:val="false"/>
          <w:i w:val="false"/>
          <w:caps w:val="false"/>
          <w:smallCaps w:val="false"/>
          <w:sz w:val="20"/>
        </w:rPr>
        <w:t xml:space="preserve"> the Corporation shall not expend or dissipate the consideration received for such Deemed Liquidation Event, except to discharge expenses incurred in connection with such Deemed Liquidation Event.</w:t>
      </w:r>
    </w:p>
    <w:p>
      <w:pPr>
        <w:pStyle w:val="TextBody"/>
        <w:bidi w:val="0"/>
        <w:spacing w:before="0" w:after="0"/>
        <w:ind w:left="2164" w:right="0" w:firstLine="721"/>
        <w:jc w:val="both"/>
        <w:rPr>
          <w:caps w:val="false"/>
          <w:smallCaps w:val="false"/>
        </w:rPr>
      </w:pPr>
      <w:r>
        <w:rPr>
          <w:caps w:val="false"/>
          <w:smallCaps w:val="false"/>
        </w:rPr>
        <w:t> </w:t>
      </w:r>
    </w:p>
    <w:p>
      <w:pPr>
        <w:pStyle w:val="TextBody"/>
        <w:bidi w:val="0"/>
        <w:spacing w:before="0" w:after="0"/>
        <w:ind w:left="2164" w:right="0" w:firstLine="72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2164" w:right="0" w:firstLine="721"/>
        <w:jc w:val="both"/>
        <w:rPr>
          <w:caps w:val="false"/>
          <w:smallCaps w:val="false"/>
        </w:rPr>
      </w:pPr>
      <w:r>
        <w:rPr>
          <w:caps w:val="false"/>
          <w:smallCaps w:val="false"/>
        </w:rPr>
        <w:t> </w:t>
      </w:r>
    </w:p>
    <w:p>
      <w:pPr>
        <w:pStyle w:val="TextBody"/>
        <w:bidi w:val="0"/>
        <w:spacing w:before="0" w:after="0"/>
        <w:ind w:left="2164"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any Deemed Liquidation Event, if Available Proceeds are in a form of property other than in cash, the value of such distribution shall be deemed to be the fair market value of such property. The determination of fair market value of such property shall be made in good faith by the Board of Directors of the Corporation, provided that to the extent such property consists of securities, the fair market value of such securities shall be determined as follows:</w:t>
      </w:r>
    </w:p>
    <w:p>
      <w:pPr>
        <w:pStyle w:val="TextBody"/>
        <w:bidi w:val="0"/>
        <w:spacing w:before="0" w:after="0"/>
        <w:ind w:left="2162" w:right="0" w:hanging="0"/>
        <w:jc w:val="both"/>
        <w:rPr>
          <w:caps w:val="false"/>
          <w:smallCaps w:val="false"/>
        </w:rPr>
      </w:pPr>
      <w:r>
        <w:rPr>
          <w:caps w:val="false"/>
          <w:smallCaps w:val="false"/>
        </w:rPr>
        <w:t> </w:t>
      </w:r>
    </w:p>
    <w:p>
      <w:pPr>
        <w:pStyle w:val="TextBody"/>
        <w:bidi w:val="0"/>
        <w:spacing w:before="0" w:after="0"/>
        <w:ind w:left="216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securities not subject to investment letters or other similar restrictions on free marketability covered by </w:t>
      </w:r>
      <w:r>
        <w:rPr>
          <w:rFonts w:ascii="Times New Roman;Times;Serif" w:hAnsi="Times New Roman;Times;Serif"/>
          <w:b w:val="false"/>
          <w:i w:val="false"/>
          <w:caps w:val="false"/>
          <w:smallCaps w:val="false"/>
          <w:sz w:val="20"/>
          <w:u w:val="single"/>
        </w:rPr>
        <w:t>Section 5(c)(iii)</w:t>
      </w:r>
      <w:r>
        <w:rPr>
          <w:rFonts w:ascii="Times New Roman;Times;Serif" w:hAnsi="Times New Roman;Times;Serif"/>
          <w:b w:val="false"/>
          <w:i w:val="false"/>
          <w:caps w:val="false"/>
          <w:smallCaps w:val="false"/>
          <w:sz w:val="20"/>
        </w:rPr>
        <w:t xml:space="preserve"> below, the value shall be the VWAP of such securities.</w:t>
      </w:r>
    </w:p>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of Directors of the Corporation) from the market value as determined pursuant to </w:t>
      </w:r>
      <w:r>
        <w:rPr>
          <w:rFonts w:ascii="Times New Roman;Times;Serif" w:hAnsi="Times New Roman;Times;Serif"/>
          <w:b w:val="false"/>
          <w:i w:val="false"/>
          <w:caps w:val="false"/>
          <w:smallCaps w:val="false"/>
          <w:sz w:val="20"/>
          <w:u w:val="single"/>
        </w:rPr>
        <w:t>Section 5(c)(ii)</w:t>
      </w:r>
      <w:r>
        <w:rPr>
          <w:rFonts w:ascii="Times New Roman;Times;Serif" w:hAnsi="Times New Roman;Times;Serif"/>
          <w:b w:val="false"/>
          <w:i w:val="false"/>
          <w:caps w:val="false"/>
          <w:smallCaps w:val="false"/>
          <w:sz w:val="20"/>
        </w:rPr>
        <w:t xml:space="preserve"> above so as to reflect the approximate fair market value thereof.</w:t>
      </w:r>
    </w:p>
    <w:p>
      <w:pPr>
        <w:pStyle w:val="TextBody"/>
        <w:bidi w:val="0"/>
        <w:spacing w:before="0" w:after="0"/>
        <w:ind w:left="2154" w:right="0" w:firstLine="731"/>
        <w:jc w:val="both"/>
        <w:rPr>
          <w:caps w:val="false"/>
          <w:smallCaps w:val="false"/>
        </w:rPr>
      </w:pPr>
      <w:r>
        <w:rPr>
          <w:caps w:val="false"/>
          <w:smallCaps w:val="false"/>
        </w:rPr>
        <w:t> </w:t>
      </w:r>
    </w:p>
    <w:p>
      <w:pPr>
        <w:pStyle w:val="TextBody"/>
        <w:bidi w:val="0"/>
        <w:spacing w:before="0" w:after="0"/>
        <w:ind w:left="2154" w:right="0" w:firstLine="73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any portion of the consideration payable to the stockholders of the Corporation is payable only upon satisfaction of contingencies (the “</w:t>
      </w:r>
      <w:r>
        <w:rPr>
          <w:rFonts w:ascii="Times New Roman;Times;Serif" w:hAnsi="Times New Roman;Times;Serif"/>
          <w:b/>
          <w:i w:val="false"/>
          <w:caps w:val="false"/>
          <w:smallCaps w:val="false"/>
          <w:sz w:val="20"/>
        </w:rPr>
        <w:t xml:space="preserve">Additional Consideration”), </w:t>
      </w:r>
      <w:r>
        <w:rPr>
          <w:rFonts w:ascii="Times New Roman;Times;Serif" w:hAnsi="Times New Roman;Times;Serif"/>
          <w:b w:val="false"/>
          <w:i w:val="false"/>
          <w:caps w:val="false"/>
          <w:smallCaps w:val="false"/>
          <w:sz w:val="20"/>
        </w:rPr>
        <w:t>(a) the portion of such consideration that is not Additional Consideration (such portion, the “</w:t>
      </w:r>
      <w:r>
        <w:rPr>
          <w:rFonts w:ascii="Times New Roman;Times;Serif" w:hAnsi="Times New Roman;Times;Serif"/>
          <w:b/>
          <w:i w:val="false"/>
          <w:caps w:val="false"/>
          <w:smallCaps w:val="false"/>
          <w:sz w:val="20"/>
        </w:rPr>
        <w:t>Initial Consideration”)</w:t>
      </w:r>
      <w:r>
        <w:rPr>
          <w:rFonts w:ascii="Times New Roman;Times;Serif" w:hAnsi="Times New Roman;Times;Serif"/>
          <w:b w:val="false"/>
          <w:i w:val="false"/>
          <w:caps w:val="false"/>
          <w:smallCaps w:val="false"/>
          <w:sz w:val="20"/>
        </w:rPr>
        <w:t xml:space="preserve"> shall be allocated in accordance with the foregoing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Times;Serif" w:hAnsi="Times New Roman;Times;Serif"/>
          <w:b w:val="false"/>
          <w:i w:val="false"/>
          <w:caps w:val="false"/>
          <w:smallCaps w:val="false"/>
          <w:sz w:val="20"/>
          <w:u w:val="single"/>
        </w:rPr>
        <w:t>Sections 5(b)</w:t>
      </w:r>
      <w:r>
        <w:rPr>
          <w:rFonts w:ascii="Times New Roman;Times;Serif" w:hAnsi="Times New Roman;Times;Serif"/>
          <w:b w:val="false"/>
          <w:i w:val="false"/>
          <w:caps w:val="false"/>
          <w:smallCaps w:val="false"/>
          <w:sz w:val="20"/>
        </w:rPr>
        <w:t xml:space="preserve"> and 5(c) after taking into account the previous payment of the Initial Consideration as part of the same transaction. For the purposes of this </w:t>
      </w:r>
      <w:r>
        <w:rPr>
          <w:rFonts w:ascii="Times New Roman;Times;Serif" w:hAnsi="Times New Roman;Times;Serif"/>
          <w:b w:val="false"/>
          <w:i w:val="false"/>
          <w:caps w:val="false"/>
          <w:smallCaps w:val="false"/>
          <w:sz w:val="20"/>
          <w:u w:val="single"/>
        </w:rPr>
        <w:t>Section 5(c)(iv),</w:t>
      </w:r>
      <w:r>
        <w:rPr>
          <w:rFonts w:ascii="Times New Roman;Times;Serif" w:hAnsi="Times New Roman;Times;Serif"/>
          <w:b w:val="false"/>
          <w:i w:val="false"/>
          <w:caps w:val="false"/>
          <w:smallCaps w:val="false"/>
          <w:sz w:val="20"/>
        </w:rPr>
        <w:t xml:space="preserve"> consideration placed into escrow or retained as a holdback to be available for satisfaction of indemnification or similar obligations in connection with such Deemed Liquidation Event shall be deemed to be Additional Consideration.</w:t>
      </w:r>
    </w:p>
    <w:p>
      <w:pPr>
        <w:pStyle w:val="TextBody"/>
        <w:bidi w:val="0"/>
        <w:spacing w:before="0" w:after="0"/>
        <w:ind w:left="2166" w:right="0" w:hanging="0"/>
        <w:jc w:val="left"/>
        <w:rPr>
          <w:caps w:val="false"/>
          <w:smallCaps w:val="false"/>
        </w:rPr>
      </w:pPr>
      <w:r>
        <w:rPr>
          <w:caps w:val="false"/>
          <w:smallCaps w:val="false"/>
        </w:rPr>
        <w:t> </w:t>
      </w:r>
    </w:p>
    <w:p>
      <w:pPr>
        <w:pStyle w:val="TextBody"/>
        <w:bidi w:val="0"/>
        <w:spacing w:before="0" w:after="0"/>
        <w:ind w:left="216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Conversion.</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Conversions at Option of Holder.</w:t>
      </w:r>
      <w:r>
        <w:rPr>
          <w:rFonts w:ascii="Times New Roman;Times;Serif" w:hAnsi="Times New Roman;Times;Serif"/>
          <w:b w:val="false"/>
          <w:i w:val="false"/>
          <w:caps w:val="false"/>
          <w:smallCaps w:val="false"/>
          <w:sz w:val="20"/>
        </w:rPr>
        <w:t xml:space="preserve"> Each share of Preferred Stock shall be convertible, at any time and from time to time from and after the Original Issue Date at the option of the Holder thereof, into that number of whole shares of Common Stock (subject to the limitations set forth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xml:space="preserve"> determined by dividing the Accrued Value of such share of Preferred Stock by the Conversion Price. Holders shall effect conversions by providing the Corporation with the form of conversion notice attached hereto as </w:t>
      </w:r>
      <w:r>
        <w:rPr>
          <w:rFonts w:ascii="Times New Roman;Times;Serif" w:hAnsi="Times New Roman;Times;Serif"/>
          <w:b/>
          <w:i w:val="false"/>
          <w:caps w:val="false"/>
          <w:smallCaps w:val="false"/>
          <w:sz w:val="20"/>
          <w:u w:val="single"/>
        </w:rPr>
        <w:t>Annex 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 “Notice of Conversion”),</w:t>
      </w:r>
      <w:r>
        <w:rPr>
          <w:rFonts w:ascii="Times New Roman;Times;Serif" w:hAnsi="Times New Roman;Times;Serif"/>
          <w:b w:val="false"/>
          <w:i w:val="false"/>
          <w:caps w:val="false"/>
          <w:smallCaps w:val="false"/>
          <w:sz w:val="20"/>
        </w:rPr>
        <w:t xml:space="preserve"> unless the Corporation directs Holders that the Notice of Conversion shall be delivered to the Corporation’s transfer agent.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e-mail attachment or by a nationally recognized overnight courier service such Notice of Conversion to the Corporation (such date, the “</w:t>
      </w:r>
      <w:r>
        <w:rPr>
          <w:rFonts w:ascii="Times New Roman;Times;Serif" w:hAnsi="Times New Roman;Times;Serif"/>
          <w:b/>
          <w:i w:val="false"/>
          <w:caps w:val="false"/>
          <w:smallCaps w:val="false"/>
          <w:sz w:val="20"/>
        </w:rPr>
        <w:t xml:space="preserve">Conversion Date”). </w:t>
      </w:r>
      <w:r>
        <w:rPr>
          <w:rFonts w:ascii="Times New Roman;Times;Serif" w:hAnsi="Times New Roman;Times;Serif"/>
          <w:b w:val="false"/>
          <w:i w:val="false"/>
          <w:caps w:val="false"/>
          <w:smallCaps w:val="false"/>
          <w:sz w:val="20"/>
        </w:rPr>
        <w:t>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canceled and shall not be reissued, and all rights (other than the right to receive the Conversion Shares) with respect to such shares will terminate. The Corporation’s stock ledger and transfer book shall serve as the exclusive record of outstanding shares of Preferred Stock.</w:t>
      </w:r>
    </w:p>
    <w:p>
      <w:pPr>
        <w:pStyle w:val="TextBody"/>
        <w:bidi w:val="0"/>
        <w:spacing w:before="0" w:after="0"/>
        <w:ind w:left="1443" w:right="0" w:firstLine="720"/>
        <w:jc w:val="both"/>
        <w:rPr>
          <w:caps w:val="false"/>
          <w:smallCaps w:val="false"/>
        </w:rPr>
      </w:pPr>
      <w:r>
        <w:rPr>
          <w:caps w:val="false"/>
          <w:smallCaps w:val="false"/>
        </w:rPr>
        <w:t> </w:t>
      </w:r>
    </w:p>
    <w:p>
      <w:pPr>
        <w:pStyle w:val="TextBody"/>
        <w:bidi w:val="0"/>
        <w:spacing w:before="0" w:after="0"/>
        <w:ind w:left="1443"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xml:space="preserve"> The initial conversion price is $12.00, subject to adjustment herein (the “</w:t>
      </w:r>
      <w:r>
        <w:rPr>
          <w:rFonts w:ascii="Times New Roman;Times;Serif" w:hAnsi="Times New Roman;Times;Serif"/>
          <w:b/>
          <w:i w:val="false"/>
          <w:caps w:val="false"/>
          <w:smallCaps w:val="false"/>
          <w:sz w:val="20"/>
        </w:rPr>
        <w:t>Conversion Price”).</w:t>
      </w:r>
    </w:p>
    <w:p>
      <w:pPr>
        <w:pStyle w:val="TextBody"/>
        <w:bidi w:val="0"/>
        <w:spacing w:before="0" w:after="0"/>
        <w:ind w:left="2884" w:right="0" w:hanging="72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Mechanics of Conversion</w:t>
      </w:r>
    </w:p>
    <w:p>
      <w:pPr>
        <w:pStyle w:val="TextBody"/>
        <w:bidi w:val="0"/>
        <w:spacing w:before="0" w:after="0"/>
        <w:ind w:left="2162" w:right="0" w:firstLine="722"/>
        <w:jc w:val="both"/>
        <w:rPr>
          <w:caps w:val="false"/>
          <w:smallCaps w:val="false"/>
        </w:rPr>
      </w:pPr>
      <w:r>
        <w:rPr>
          <w:caps w:val="false"/>
          <w:smallCaps w:val="false"/>
        </w:rPr>
        <w:t> </w:t>
      </w:r>
    </w:p>
    <w:p>
      <w:pPr>
        <w:pStyle w:val="TextBody"/>
        <w:bidi w:val="0"/>
        <w:spacing w:before="0" w:after="0"/>
        <w:ind w:left="2162" w:right="0" w:firstLine="7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Conversion Shares Upon Conversion.</w:t>
      </w:r>
      <w:r>
        <w:rPr>
          <w:rFonts w:ascii="Times New Roman;Times;Serif" w:hAnsi="Times New Roman;Times;Serif"/>
          <w:b w:val="false"/>
          <w:i w:val="false"/>
          <w:caps w:val="false"/>
          <w:smallCaps w:val="false"/>
          <w:sz w:val="20"/>
        </w:rPr>
        <w:t xml:space="preserve"> Not later than the number of Trading Days comprising the Standard Settlement Period (as defined below) after each Conversion Date (the “</w:t>
      </w:r>
      <w:r>
        <w:rPr>
          <w:rFonts w:ascii="Times New Roman;Times;Serif" w:hAnsi="Times New Roman;Times;Serif"/>
          <w:b/>
          <w:i w:val="false"/>
          <w:caps w:val="false"/>
          <w:smallCaps w:val="false"/>
          <w:sz w:val="20"/>
        </w:rPr>
        <w:t xml:space="preserve">Share Delivery Date”), </w:t>
      </w:r>
      <w:r>
        <w:rPr>
          <w:rFonts w:ascii="Times New Roman;Times;Serif" w:hAnsi="Times New Roman;Times;Serif"/>
          <w:b w:val="false"/>
          <w:i w:val="false"/>
          <w:caps w:val="false"/>
          <w:smallCaps w:val="false"/>
          <w:sz w:val="20"/>
        </w:rPr>
        <w:t xml:space="preserve">the Corporation shall deliver, or cause to be delivered, to the converting Holder (A) the number of Conversion Shares being acquired upon the conversion of the Preferred Stock, which on or after the earlier of (i) the one year anniversary of the Original Issue Date or (ii) the Effective Date, shall be free of restrictive legends and trading restrictions (other than those which may then be required by any Purchase Agreement or any other applicable lock-up agreement or similar agreement) and (B) cash in an amount equal to any accrued and unpaid dividends, if any. On or after the earlier of (i) the one year anniversary of the Original Issue Date or (ii) the Effective Date, the Corporation shall deliver the Conversion Shares required to be delivered by the Corporation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electronically through the Depository Trust Company or another established clearing corporation performing similar functions. As used herein, “</w:t>
      </w:r>
      <w:r>
        <w:rPr>
          <w:rFonts w:ascii="Times New Roman;Times;Serif" w:hAnsi="Times New Roman;Times;Serif"/>
          <w:b/>
          <w:i w:val="false"/>
          <w:caps w:val="false"/>
          <w:smallCaps w:val="false"/>
          <w:sz w:val="20"/>
        </w:rPr>
        <w:t>Standard Settlement Period”</w:t>
      </w:r>
      <w:r>
        <w:rPr>
          <w:rFonts w:ascii="Times New Roman;Times;Serif" w:hAnsi="Times New Roman;Times;Serif"/>
          <w:b w:val="false"/>
          <w:i w:val="false"/>
          <w:caps w:val="false"/>
          <w:smallCaps w:val="false"/>
          <w:sz w:val="20"/>
        </w:rPr>
        <w:t xml:space="preserve"> means the standard settlement period, expressed in a number of Trading Days, on the Corporation’s primary Trading Market with respect to the Common Stock as in effect on the date of delivery of the Notice of Conversion. Notwithstanding the foregoing, with respect to any Notice(s) of Conversion delivered at or prior to 12:00 p.m. (New York City time) on the Original Issue Date, the Corporation agrees to deliver the Conversion Shares subject to such notice(s) by 4:00 p.m. (New York City time) on the Original Issue Date.</w:t>
      </w:r>
    </w:p>
    <w:p>
      <w:pPr>
        <w:pStyle w:val="TextBody"/>
        <w:bidi w:val="0"/>
        <w:spacing w:before="0" w:after="0"/>
        <w:ind w:left="2165" w:right="0" w:firstLine="720"/>
        <w:jc w:val="both"/>
        <w:rPr>
          <w:caps w:val="false"/>
          <w:smallCaps w:val="false"/>
        </w:rPr>
      </w:pPr>
      <w:r>
        <w:rPr>
          <w:caps w:val="false"/>
          <w:smallCaps w:val="false"/>
        </w:rPr>
        <w:t> </w:t>
      </w:r>
    </w:p>
    <w:p>
      <w:pPr>
        <w:pStyle w:val="TextBody"/>
        <w:bidi w:val="0"/>
        <w:spacing w:before="0" w:after="0"/>
        <w:ind w:left="2165"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2165" w:right="0" w:firstLine="720"/>
        <w:jc w:val="both"/>
        <w:rPr>
          <w:caps w:val="false"/>
          <w:smallCaps w:val="false"/>
        </w:rPr>
      </w:pPr>
      <w:r>
        <w:rPr>
          <w:caps w:val="false"/>
          <w:smallCaps w:val="false"/>
        </w:rPr>
        <w:t> </w:t>
      </w:r>
    </w:p>
    <w:p>
      <w:pPr>
        <w:pStyle w:val="TextBody"/>
        <w:bidi w:val="0"/>
        <w:spacing w:before="0" w:after="0"/>
        <w:ind w:left="2165"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Failure to Deliver Conversion Shares.</w:t>
      </w:r>
      <w:r>
        <w:rPr>
          <w:rFonts w:ascii="Times New Roman;Times;Serif" w:hAnsi="Times New Roman;Times;Serif"/>
          <w:b w:val="false"/>
          <w:i w:val="false"/>
          <w:caps w:val="false"/>
          <w:smallCaps w:val="false"/>
          <w:sz w:val="20"/>
        </w:rPr>
        <w:t xml:space="preserve"> If, in the case of any Notice of Conversion, such Conversion Shares are not delivered to or as reasonably directed by the applicable Holder by the Share Delivery Date, the Holder shall be entitled to elect by written notice to the Corporation at any time on or before its receipt of such Conversion Shares,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w:t>
      </w:r>
    </w:p>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Obligation Absolute; Partial Liquidated Damages.</w:t>
      </w:r>
      <w:r>
        <w:rPr>
          <w:rFonts w:ascii="Times New Roman;Times;Serif" w:hAnsi="Times New Roman;Times;Serif"/>
          <w:b w:val="false"/>
          <w:i w:val="false"/>
          <w:caps w:val="false"/>
          <w:smallCaps w:val="false"/>
          <w:sz w:val="20"/>
        </w:rPr>
        <w:t xml:space="preserve">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w:t>
      </w:r>
      <w:r>
        <w:rPr>
          <w:rFonts w:ascii="Times New Roman;Times;Serif" w:hAnsi="Times New Roman;Times;Serif"/>
          <w:b w:val="false"/>
          <w:i/>
          <w:caps w:val="false"/>
          <w:smallCaps w:val="false"/>
          <w:sz w:val="20"/>
          <w:u w:val="single"/>
        </w:rPr>
        <w:t>provided, however,</w:t>
      </w:r>
      <w:r>
        <w:rPr>
          <w:rFonts w:ascii="Times New Roman;Times;Serif" w:hAnsi="Times New Roman;Times;Serif"/>
          <w:b w:val="false"/>
          <w:i w:val="false"/>
          <w:caps w:val="false"/>
          <w:smallCaps w:val="false"/>
          <w:sz w:val="20"/>
        </w:rPr>
        <w:t xml:space="preserve"> that such delivery shall not operate as a waiver by the Corporation of any such action that the Corporation may have against such Holder. In the event a Holder shall elect to convert any or all of the Accrued Value of its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and the Corporation posts a surety bond for the benefit of such Holder in the amount of 150% of the Accrued Value of Preferred Stock which is subject to the injunction, which bond shall remain in effect until the completion of arbitration/litigation of the underlying dispute and the proceeds of which shall be payable to such Holder to the extent it obtains judgment. In the absence of such injunction, the Corporation shall issue Conversion Shares and, if applicable, cash, upon a properly noticed conversion. If the Corporation fails to deliver to a Holder such Conversion Shares pursuant to </w:t>
      </w:r>
      <w:r>
        <w:rPr>
          <w:rFonts w:ascii="Times New Roman;Times;Serif" w:hAnsi="Times New Roman;Times;Serif"/>
          <w:b w:val="false"/>
          <w:i w:val="false"/>
          <w:caps w:val="false"/>
          <w:smallCaps w:val="false"/>
          <w:sz w:val="20"/>
          <w:u w:val="single"/>
        </w:rPr>
        <w:t>Section 6(c)(i)</w:t>
      </w:r>
      <w:r>
        <w:rPr>
          <w:rFonts w:ascii="Times New Roman;Times;Serif" w:hAnsi="Times New Roman;Times;Serif"/>
          <w:b w:val="false"/>
          <w:i w:val="false"/>
          <w:caps w:val="false"/>
          <w:smallCaps w:val="false"/>
          <w:sz w:val="20"/>
        </w:rPr>
        <w:t xml:space="preserve"> by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after the Share Delivery Date applicable to such conversion, the Corporation shall pay to such Holder, in cash, as liquidated damages and not as a penalty, for each $5,000 of Accrued Value of Preferred Stock being converted, $25 per Trading Day (increasing to $50 per Trading Day on the third Trading Day and increasing to $100 per Trading Day on the sixth Trading Day after such damages begin to accrue) for each Trading Day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after the Share Delivery Date until such Conversion Shares are delivered or Holder rescinds such conversion.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Conversion Shares Upon Conversion.</w:t>
      </w:r>
      <w:r>
        <w:rPr>
          <w:rFonts w:ascii="Times New Roman;Times;Serif" w:hAnsi="Times New Roman;Times;Serif"/>
          <w:b w:val="false"/>
          <w:i w:val="false"/>
          <w:caps w:val="false"/>
          <w:smallCaps w:val="false"/>
          <w:sz w:val="20"/>
        </w:rPr>
        <w:t xml:space="preserve"> In addition to any other rights available to the Holder, if the Corporation fails for any reason unrelated to the actions of the Holder or its Affiliates to deliver to a Holder the applicable Conversion Shares by the Share Delivery Date pursuant to </w:t>
      </w:r>
      <w:r>
        <w:rPr>
          <w:rFonts w:ascii="Times New Roman;Times;Serif" w:hAnsi="Times New Roman;Times;Serif"/>
          <w:b w:val="false"/>
          <w:i w:val="false"/>
          <w:caps w:val="false"/>
          <w:smallCaps w:val="false"/>
          <w:sz w:val="20"/>
          <w:u w:val="single"/>
        </w:rPr>
        <w:t>Section 6(c)(i),</w:t>
      </w:r>
      <w:r>
        <w:rPr>
          <w:rFonts w:ascii="Times New Roman;Times;Serif" w:hAnsi="Times New Roman;Times;Serif"/>
          <w:b w:val="false"/>
          <w:i w:val="false"/>
          <w:caps w:val="false"/>
          <w:smallCaps w:val="false"/>
          <w:sz w:val="20"/>
        </w:rPr>
        <w:t xml:space="preserve">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xml:space="preserve">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(excluding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Corporation had timely complied with its delivery requirements under </w:t>
      </w:r>
      <w:r>
        <w:rPr>
          <w:rFonts w:ascii="Times New Roman;Times;Serif" w:hAnsi="Times New Roman;Times;Serif"/>
          <w:b w:val="false"/>
          <w:i w:val="false"/>
          <w:caps w:val="false"/>
          <w:smallCaps w:val="false"/>
          <w:sz w:val="20"/>
          <w:u w:val="single"/>
        </w:rPr>
        <w:t>Section 6(c)(i)</w:t>
      </w:r>
      <w:r>
        <w:rPr>
          <w:rFonts w:ascii="Times New Roman;Times;Serif" w:hAnsi="Times New Roman;Times;Serif"/>
          <w:b w:val="false"/>
          <w:i w:val="false"/>
          <w:caps w:val="false"/>
          <w:smallCaps w:val="false"/>
          <w:sz w:val="20"/>
        </w:rPr>
        <w:t>. For example, if a Holder purchases shares of Common Stock having a total purchase price of $11,000 to cover a Buy-In with respect to an attempted conversion of shares of Preferred Stock with respect to which the actual sale price of the Conversion Shares (including any applicable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the request of the Corporation, evidence of the amount of such loss. If a Holder purchases shares of Common Stock having a total purchase price of $9,000 to cover a Buy-In with respect to an attempted conversion of shares of Preferred Stock with respect to which the actual sale price of the Conversion Shares (including any applicable brokerage commissions) giving rise to such purchase obligation was a total of $10,000, under clause (A) of the preceding sentence, the Corporation shall not be required to pay Holder any amount. For the avoidance of doubt, in the event of a Buy-In, the Holder shall use commercially reasonable efforts to purchase shares at the lowest available price, paying the lowest reasonably available brokerage commission. The Holder shall provide the Corporation written notice indicating the amounts payable to such Holder in respect of the Buy-In and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Conversion Shares upon conversion of the shares of Preferred Stock as required pursuant to the terms hereof.</w:t>
      </w:r>
    </w:p>
    <w:p>
      <w:pPr>
        <w:pStyle w:val="TextBody"/>
        <w:bidi w:val="0"/>
        <w:spacing w:before="0" w:after="0"/>
        <w:ind w:left="2162" w:right="0" w:firstLine="722"/>
        <w:jc w:val="both"/>
        <w:rPr>
          <w:caps w:val="false"/>
          <w:smallCaps w:val="false"/>
        </w:rPr>
      </w:pPr>
      <w:r>
        <w:rPr>
          <w:caps w:val="false"/>
          <w:smallCaps w:val="false"/>
        </w:rPr>
        <w:t> </w:t>
      </w:r>
    </w:p>
    <w:p>
      <w:pPr>
        <w:pStyle w:val="TextBody"/>
        <w:bidi w:val="0"/>
        <w:spacing w:before="0" w:after="0"/>
        <w:ind w:left="2162" w:right="0" w:firstLine="7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Reservation of Shares Issuable Upon Conversion.</w:t>
      </w:r>
      <w:r>
        <w:rPr>
          <w:rFonts w:ascii="Times New Roman;Times;Serif" w:hAnsi="Times New Roman;Times;Serif"/>
          <w:b w:val="false"/>
          <w:i w:val="false"/>
          <w:caps w:val="false"/>
          <w:smallCaps w:val="false"/>
          <w:sz w:val="20"/>
        </w:rPr>
        <w:t xml:space="preserve"> The Corporation covenants that it will at all times reserve and keep available out of its authorized and unissued shares of Common Stock for the sole purpose of issuance upon conversion of the Preferred Stock as herein provided, free from preemptive rights or any other actual contingent purchase rights of Persons other than the Holder (and the other Holders of the Preferred Stock), not less than such aggregate number of shares of the Common Stock as shall (subject to the terms and conditions set forth in the Purchase Agreement) be issuable (taking into account the adjustments and restrictions of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upon the conversion of the then outstanding shares of Preferred Stock (assuming for such purpose a Conversion Price equal to the Floor Price and any such conversions are made without regard to any limitations on conversion set forth herein). The Corporation covenants that all shares of Common Stock that shall be so issuable shall, upon issue, be duly authorized, validly issued, fully paid and nonassessable and, if a Registration Statement is then effective under the Securities Act, shall be registered for public resale in accordance with such Registration Statement (subject to such Holder’s compliance with its obligations under the Registration Rights Agreement).</w:t>
      </w:r>
    </w:p>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xml:space="preserve"> No fractional shares or scrip representing fractional shares shall be issued upon the conversion of the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or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pStyle w:val="TextBody"/>
        <w:bidi w:val="0"/>
        <w:spacing w:before="0" w:after="0"/>
        <w:ind w:left="2164" w:right="0" w:firstLine="721"/>
        <w:jc w:val="both"/>
        <w:rPr>
          <w:caps w:val="false"/>
          <w:smallCaps w:val="false"/>
        </w:rPr>
      </w:pPr>
      <w:r>
        <w:rPr>
          <w:caps w:val="false"/>
          <w:smallCaps w:val="false"/>
        </w:rPr>
        <w:t> </w:t>
      </w:r>
    </w:p>
    <w:p>
      <w:pPr>
        <w:pStyle w:val="TextBody"/>
        <w:bidi w:val="0"/>
        <w:spacing w:before="0" w:after="0"/>
        <w:ind w:left="2164" w:right="0" w:firstLine="72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2164" w:right="0" w:firstLine="721"/>
        <w:jc w:val="both"/>
        <w:rPr>
          <w:caps w:val="false"/>
          <w:smallCaps w:val="false"/>
        </w:rPr>
      </w:pPr>
      <w:r>
        <w:rPr>
          <w:caps w:val="false"/>
          <w:smallCaps w:val="false"/>
        </w:rPr>
        <w:t> </w:t>
      </w:r>
    </w:p>
    <w:p>
      <w:pPr>
        <w:pStyle w:val="TextBody"/>
        <w:bidi w:val="0"/>
        <w:spacing w:before="0" w:after="0"/>
        <w:ind w:left="2164"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Transfer Taxes and Expenses.</w:t>
      </w:r>
      <w:r>
        <w:rPr>
          <w:rFonts w:ascii="Times New Roman;Times;Serif" w:hAnsi="Times New Roman;Times;Serif"/>
          <w:b w:val="false"/>
          <w:i w:val="false"/>
          <w:caps w:val="false"/>
          <w:smallCaps w:val="false"/>
          <w:sz w:val="20"/>
        </w:rPr>
        <w:t xml:space="preserve"> The issuance of Conversion Shares on conversion of this Preferred Stock shall be made without charge to any Holder for any documentary stamp or similar taxes that may be payable in respect of the issue or delivery of such Conversion Shares, </w:t>
      </w:r>
      <w:r>
        <w:rPr>
          <w:rFonts w:ascii="Times New Roman;Times;Serif" w:hAnsi="Times New Roman;Times;Serif"/>
          <w:b w:val="false"/>
          <w:i/>
          <w:caps w:val="false"/>
          <w:smallCaps w:val="false"/>
          <w:sz w:val="20"/>
          <w:u w:val="single"/>
        </w:rPr>
        <w:t>provided that</w:t>
      </w:r>
      <w:r>
        <w:rPr>
          <w:rFonts w:ascii="Times New Roman;Times;Serif" w:hAnsi="Times New Roman;Times;Serif"/>
          <w:b w:val="false"/>
          <w:i w:val="false"/>
          <w:caps w:val="false"/>
          <w:smallCaps w:val="false"/>
          <w:sz w:val="20"/>
        </w:rPr>
        <w:t xml:space="preserve">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w:t>
      </w:r>
    </w:p>
    <w:p>
      <w:pPr>
        <w:pStyle w:val="TextBody"/>
        <w:bidi w:val="0"/>
        <w:spacing w:before="0" w:after="0"/>
        <w:ind w:left="1434" w:right="0" w:firstLine="729"/>
        <w:jc w:val="both"/>
        <w:rPr>
          <w:caps w:val="false"/>
          <w:smallCaps w:val="false"/>
        </w:rPr>
      </w:pPr>
      <w:r>
        <w:rPr>
          <w:caps w:val="false"/>
          <w:smallCaps w:val="false"/>
        </w:rPr>
        <w:t> </w:t>
      </w:r>
    </w:p>
    <w:p>
      <w:pPr>
        <w:pStyle w:val="TextBody"/>
        <w:bidi w:val="0"/>
        <w:spacing w:before="0" w:after="0"/>
        <w:ind w:left="1434" w:right="0" w:firstLine="72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A Holder may notify the Corporation in writing in the event it elects to be subject to the provisions contained in this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xml:space="preserve"> however, no Holder shall be subject to this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xml:space="preserve"> unless he, she or it makes such election. If the election is made, (i) the Corporation shall not effect any conversion of the Preferred Stock, and such Holder shall not have the right to convert all or any portion of the Preferred Stock, to the extent that, after giving effect to the conversion set forth on the applicable Notice of Conversion, such Holder (together with such Holder’s Affiliates, and any Persons acting as a group together with such Holder or any of such Holder’s Affiliates (such Persons, “</w:t>
      </w:r>
      <w:r>
        <w:rPr>
          <w:rFonts w:ascii="Times New Roman;Times;Serif" w:hAnsi="Times New Roman;Times;Serif"/>
          <w:b/>
          <w:i w:val="false"/>
          <w:caps w:val="false"/>
          <w:smallCaps w:val="false"/>
          <w:sz w:val="20"/>
        </w:rPr>
        <w:t xml:space="preserve">Attribution Parties”)) </w:t>
      </w:r>
      <w:r>
        <w:rPr>
          <w:rFonts w:ascii="Times New Roman;Times;Serif" w:hAnsi="Times New Roman;Times;Serif"/>
          <w:b w:val="false"/>
          <w:i w:val="false"/>
          <w:caps w:val="false"/>
          <w:smallCaps w:val="false"/>
          <w:sz w:val="20"/>
        </w:rPr>
        <w:t>would beneficially own in excess of 4.9%, 9.9%, 19.9% of the Corporation’s Common Stock (or such other amount as a Holder may specify) (the “</w:t>
      </w:r>
      <w:r>
        <w:rPr>
          <w:rFonts w:ascii="Times New Roman;Times;Serif" w:hAnsi="Times New Roman;Times;Serif"/>
          <w:b/>
          <w:i w:val="false"/>
          <w:caps w:val="false"/>
          <w:smallCaps w:val="false"/>
          <w:sz w:val="20"/>
        </w:rPr>
        <w:t xml:space="preserve">Beneficial Ownership Limitation”) </w:t>
      </w:r>
      <w:r>
        <w:rPr>
          <w:rFonts w:ascii="Times New Roman;Times;Serif" w:hAnsi="Times New Roman;Times;Serif"/>
          <w:b w:val="false"/>
          <w:i w:val="false"/>
          <w:caps w:val="false"/>
          <w:smallCaps w:val="false"/>
          <w:sz w:val="20"/>
        </w:rPr>
        <w:t xml:space="preserve">and (ii) the Corporation shall not permit the Holder to vote, and such Holder shall not have the right vote pursuant to </w:t>
      </w:r>
      <w:r>
        <w:rPr>
          <w:rFonts w:ascii="Times New Roman;Times;Serif" w:hAnsi="Times New Roman;Times;Serif"/>
          <w:b w:val="false"/>
          <w:i w:val="false"/>
          <w:caps w:val="false"/>
          <w:smallCaps w:val="false"/>
          <w:sz w:val="20"/>
          <w:u w:val="single"/>
        </w:rPr>
        <w:t>Section 4(b)</w:t>
      </w:r>
      <w:r>
        <w:rPr>
          <w:rFonts w:ascii="Times New Roman;Times;Serif" w:hAnsi="Times New Roman;Times;Serif"/>
          <w:b w:val="false"/>
          <w:i w:val="false"/>
          <w:caps w:val="false"/>
          <w:smallCaps w:val="false"/>
          <w:sz w:val="20"/>
        </w:rPr>
        <w:t xml:space="preserve"> of this Certificate of Designation, all or any portion of the Preferred Stock that such Holder is not permitted to convert pursuant to the preceding clause (i) (provided, however, that such Holder shall retain the right to vote pursuant to </w:t>
      </w:r>
      <w:r>
        <w:rPr>
          <w:rFonts w:ascii="Times New Roman;Times;Serif" w:hAnsi="Times New Roman;Times;Serif"/>
          <w:b w:val="false"/>
          <w:i w:val="false"/>
          <w:caps w:val="false"/>
          <w:smallCaps w:val="false"/>
          <w:sz w:val="20"/>
          <w:u w:val="single"/>
        </w:rPr>
        <w:t>Section 4(c)</w:t>
      </w:r>
      <w:r>
        <w:rPr>
          <w:rFonts w:ascii="Times New Roman;Times;Serif" w:hAnsi="Times New Roman;Times;Serif"/>
          <w:b w:val="false"/>
          <w:i w:val="false"/>
          <w:caps w:val="false"/>
          <w:smallCaps w:val="false"/>
          <w:sz w:val="20"/>
        </w:rPr>
        <w:t xml:space="preserve"> of this Certificate of Designation to the extent that retaining such right does not cause such Holder to be deemed to beneficially own Conversion Shares within the meaning of Rule 13d-3 promulgated under the Exchange Act). For purposes of the foregoing sentence, the number of shares of Common Stock beneficially owned by such Holder and its Affiliates and Attribution Parties shall include the number of shares of Common Stock issuable upon conversion of the Preferred Stock with respect to which such determination is being made, but shall exclude the number of shares of Common Stock which are issuable upon (i) conversion of the remaining, unconverted Accrued Value of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beneficially owned by such Holder or any of its Affiliates or Attribution Parties. Except as set forth in the preceding sentence, for purposes of this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xml:space="preserve">, beneficial ownership shall be calculated in accordance with Section 13(d) of the Exchange Act and the rules and regulations promulgated thereunder. To the extent that the limitation contained in this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xml:space="preserve"> applies, the determination of whether the Preferred Stock is convertible (in relation to other securities owned by such Holder together with any Affiliates and Attribution Parties)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Attribution Parties)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In addition, a determination as to any group status as contemplated above shall be determined in accordance with Section 13(d) of the Exchange Act and the rules and regulations promulgated thereunder. The Holder shall provide the Corporation with any information reasonably requested by the Corporation in connection with this Beneficial Ownership Limitation and the provisions related thereto, in each case with respect to the Corporation’s reporting obligations pursuant to the Securities Act, the Exchange Act, or other federal or state securities regulations. For purposes of this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xml:space="preserve">, in determining the number of outstanding shares of Common Stock, a Holder may rely on the number of outstanding shares of Common Stock as stated in the most recent of the following: (i) the Corporation’s most recent periodic or annual report filed with the Commission, as the case may be, (ii) a more recent public announcement by the Corporation or (iii) a more recent written notice by the Corporation or the Transfer Agent setting forth the number of shares of Common Stock outstanding. Upon the written or oral request (which may be via email) of a Holder, the Corporation shall within two Trading Days confirm in writing to such Holder the number of shares of Common Stock then outstanding. In any case, the number of outstanding shares of Common Stock shall be determined after giving effect to the conversion or exercise of securities of the Corporation, including the Preferred Stock, by such Holder or its Affiliates or Attribution Parties since the date as of which such number of outstanding shares of Common Stock was reported. By written notice to the Corporation, a Holder may from time to time increase or decrease the Beneficial Ownership Limitation applicable to such Holder, provided, however, that any such increase in the Beneficial Ownership Limitation will not be effective until the sixty-first (61st) day after such notice is delivered to the Corporation. The provisions of this paragraph shall be construed and implemented in a manner otherwise than in strict conformity with the terms of this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xml:space="preserve">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pStyle w:val="TextBody"/>
        <w:bidi w:val="0"/>
        <w:spacing w:before="0" w:after="0"/>
        <w:ind w:left="2165" w:right="0" w:hanging="0"/>
        <w:jc w:val="left"/>
        <w:rPr>
          <w:caps w:val="false"/>
          <w:smallCaps w:val="false"/>
        </w:rPr>
      </w:pPr>
      <w:r>
        <w:rPr>
          <w:caps w:val="false"/>
          <w:smallCaps w:val="false"/>
        </w:rPr>
        <w:t> </w:t>
      </w:r>
    </w:p>
    <w:p>
      <w:pPr>
        <w:pStyle w:val="TextBody"/>
        <w:bidi w:val="0"/>
        <w:spacing w:before="0" w:after="0"/>
        <w:ind w:left="216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2165" w:right="0" w:hanging="0"/>
        <w:jc w:val="left"/>
        <w:rPr>
          <w:caps w:val="false"/>
          <w:smallCaps w:val="false"/>
        </w:rPr>
      </w:pPr>
      <w:r>
        <w:rPr>
          <w:caps w:val="false"/>
          <w:smallCaps w:val="false"/>
        </w:rPr>
        <w:t> </w:t>
      </w:r>
    </w:p>
    <w:p>
      <w:pPr>
        <w:pStyle w:val="TextBody"/>
        <w:bidi w:val="0"/>
        <w:spacing w:before="0" w:after="0"/>
        <w:ind w:left="216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Certain Adjustments.</w:t>
      </w:r>
    </w:p>
    <w:p>
      <w:pPr>
        <w:pStyle w:val="TextBody"/>
        <w:bidi w:val="0"/>
        <w:spacing w:before="0" w:after="0"/>
        <w:ind w:left="1442" w:right="0" w:firstLine="721"/>
        <w:jc w:val="both"/>
        <w:rPr>
          <w:caps w:val="false"/>
          <w:smallCaps w:val="false"/>
        </w:rPr>
      </w:pPr>
      <w:r>
        <w:rPr>
          <w:caps w:val="false"/>
          <w:smallCaps w:val="false"/>
        </w:rPr>
        <w:t> </w:t>
      </w:r>
    </w:p>
    <w:p>
      <w:pPr>
        <w:pStyle w:val="TextBody"/>
        <w:bidi w:val="0"/>
        <w:spacing w:before="0" w:after="0"/>
        <w:ind w:left="1442"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Stock Splits.</w:t>
      </w:r>
      <w:r>
        <w:rPr>
          <w:rFonts w:ascii="Times New Roman;Times;Serif" w:hAnsi="Times New Roman;Times;Serif"/>
          <w:b w:val="false"/>
          <w:i w:val="false"/>
          <w:caps w:val="false"/>
          <w:smallCaps w:val="false"/>
          <w:sz w:val="20"/>
        </w:rPr>
        <w:t xml:space="preserve"> If the Corporation, at any time while this Preferred Stock is outstanding: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Preferred Stock or any cash distributions),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each of the Conversion Price and the Floor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xml:space="preserve">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1440" w:right="0" w:firstLine="724"/>
        <w:jc w:val="both"/>
        <w:rPr>
          <w:caps w:val="false"/>
          <w:smallCaps w:val="false"/>
        </w:rPr>
      </w:pPr>
      <w:r>
        <w:rPr>
          <w:caps w:val="false"/>
          <w:smallCaps w:val="false"/>
        </w:rPr>
        <w:t> </w:t>
      </w:r>
    </w:p>
    <w:p>
      <w:pPr>
        <w:pStyle w:val="TextBody"/>
        <w:bidi w:val="0"/>
        <w:spacing w:before="0" w:after="0"/>
        <w:ind w:left="1440"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VWAP Reset.</w:t>
      </w:r>
      <w:r>
        <w:rPr>
          <w:rFonts w:ascii="Times New Roman;Times;Serif" w:hAnsi="Times New Roman;Times;Serif"/>
          <w:b w:val="false"/>
          <w:i w:val="false"/>
          <w:caps w:val="false"/>
          <w:smallCaps w:val="false"/>
          <w:sz w:val="20"/>
        </w:rPr>
        <w:t xml:space="preserve"> If on the twenty-first trading day following the date that is six months after the Closing Date, the VWAP (the “</w:t>
      </w:r>
      <w:r>
        <w:rPr>
          <w:rFonts w:ascii="Times New Roman;Times;Serif" w:hAnsi="Times New Roman;Times;Serif"/>
          <w:b/>
          <w:i w:val="false"/>
          <w:caps w:val="false"/>
          <w:smallCaps w:val="false"/>
          <w:sz w:val="20"/>
        </w:rPr>
        <w:t>Measurement Price”)</w:t>
      </w:r>
      <w:r>
        <w:rPr>
          <w:rFonts w:ascii="Times New Roman;Times;Serif" w:hAnsi="Times New Roman;Times;Serif"/>
          <w:b w:val="false"/>
          <w:i w:val="false"/>
          <w:caps w:val="false"/>
          <w:smallCaps w:val="false"/>
          <w:sz w:val="20"/>
        </w:rPr>
        <w:t xml:space="preserve"> is less than the Conversion Price then in effect, then the Conversion Price then in effect shall be reduced to an amount equal to the greater of (i) the Measurement Price and (ii) $5.00.</w:t>
      </w:r>
    </w:p>
    <w:p>
      <w:pPr>
        <w:pStyle w:val="TextBody"/>
        <w:bidi w:val="0"/>
        <w:spacing w:before="0" w:after="0"/>
        <w:ind w:left="1442" w:right="0" w:firstLine="721"/>
        <w:jc w:val="both"/>
        <w:rPr>
          <w:caps w:val="false"/>
          <w:smallCaps w:val="false"/>
        </w:rPr>
      </w:pPr>
      <w:r>
        <w:rPr>
          <w:caps w:val="false"/>
          <w:smallCaps w:val="false"/>
        </w:rPr>
        <w:t> </w:t>
      </w:r>
    </w:p>
    <w:p>
      <w:pPr>
        <w:pStyle w:val="TextBody"/>
        <w:bidi w:val="0"/>
        <w:spacing w:before="0" w:after="0"/>
        <w:ind w:left="1442"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of Conversion Price upon Issuance of Common Stock</w:t>
      </w:r>
      <w:r>
        <w:rPr>
          <w:rFonts w:ascii="Times New Roman;Times;Serif" w:hAnsi="Times New Roman;Times;Serif"/>
          <w:b w:val="false"/>
          <w:i w:val="false"/>
          <w:caps w:val="false"/>
          <w:smallCaps w:val="false"/>
          <w:sz w:val="20"/>
        </w:rPr>
        <w:t xml:space="preserve">. If and whenever on or after the Closing Date until the first date on which no shares of Preferred Stock are outstanding the Corporation issues or sells, or in accordance with this </w:t>
      </w:r>
      <w:r>
        <w:rPr>
          <w:rFonts w:ascii="Times New Roman;Times;Serif" w:hAnsi="Times New Roman;Times;Serif"/>
          <w:b w:val="false"/>
          <w:i w:val="false"/>
          <w:caps w:val="false"/>
          <w:smallCaps w:val="false"/>
          <w:sz w:val="20"/>
          <w:u w:val="single"/>
        </w:rPr>
        <w:t>Section 7(c)</w:t>
      </w:r>
      <w:r>
        <w:rPr>
          <w:rFonts w:ascii="Times New Roman;Times;Serif" w:hAnsi="Times New Roman;Times;Serif"/>
          <w:b w:val="false"/>
          <w:i w:val="false"/>
          <w:caps w:val="false"/>
          <w:smallCaps w:val="false"/>
          <w:sz w:val="20"/>
        </w:rPr>
        <w:t xml:space="preserve"> is deemed to have issued or sold, any shares of Common Stock (including the issuance or sale of shares of Common Stock owned or held by or for the account of the Corporation, </w:t>
      </w:r>
      <w:r>
        <w:rPr>
          <w:rFonts w:ascii="Times New Roman;Times;Serif" w:hAnsi="Times New Roman;Times;Serif"/>
          <w:b w:val="false"/>
          <w:i/>
          <w:caps w:val="false"/>
          <w:smallCaps w:val="false"/>
          <w:sz w:val="20"/>
          <w:u w:val="single"/>
        </w:rPr>
        <w:t>but</w:t>
      </w:r>
      <w:r>
        <w:rPr>
          <w:rFonts w:ascii="Times New Roman;Times;Serif" w:hAnsi="Times New Roman;Times;Serif"/>
          <w:b w:val="false"/>
          <w:i w:val="false"/>
          <w:caps w:val="false"/>
          <w:smallCaps w:val="false"/>
          <w:sz w:val="20"/>
        </w:rPr>
        <w:t xml:space="preserve"> excluding shares of Common Stock issued or sold, or deemed to have been issued or sold, by the Corporation in connection with any Exempt Issuance)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xml:space="preserve"> less than the Conversion Price then in effect (each such issue, sale or deemed issuance or sale,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xml:space="preserve"> where the aggregate amount of consideration received by the Corporation, together with all prior issuances and sales conducted for the purpose of raising capital by the Corporation on or after the Closing Date that were excluded from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by this clause, exceeds $500,000, then, immediately after such Dilutive Issuance, the Conversion Price then in effect shall be reduced to an amount equal to the New Issuance Price. For all purposes of the foregoing (including, without limitation, determining the adjusted Conversion Price and the New Issuance Price under this </w:t>
      </w:r>
      <w:r>
        <w:rPr>
          <w:rFonts w:ascii="Times New Roman;Times;Serif" w:hAnsi="Times New Roman;Times;Serif"/>
          <w:b w:val="false"/>
          <w:i w:val="false"/>
          <w:caps w:val="false"/>
          <w:smallCaps w:val="false"/>
          <w:sz w:val="20"/>
          <w:u w:val="single"/>
        </w:rPr>
        <w:t>Section 7(c)),</w:t>
      </w:r>
      <w:r>
        <w:rPr>
          <w:rFonts w:ascii="Times New Roman;Times;Serif" w:hAnsi="Times New Roman;Times;Serif"/>
          <w:b w:val="false"/>
          <w:i w:val="false"/>
          <w:caps w:val="false"/>
          <w:smallCaps w:val="false"/>
          <w:sz w:val="20"/>
        </w:rPr>
        <w:t xml:space="preserve"> the following shall be applicable:</w:t>
      </w:r>
    </w:p>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Options and Convertible Securities.</w:t>
      </w:r>
      <w:r>
        <w:rPr>
          <w:rFonts w:ascii="Times New Roman;Times;Serif" w:hAnsi="Times New Roman;Times;Serif"/>
          <w:b w:val="false"/>
          <w:i w:val="false"/>
          <w:caps w:val="false"/>
          <w:smallCaps w:val="false"/>
          <w:sz w:val="20"/>
        </w:rPr>
        <w:t xml:space="preserve"> The consideration per share received by the Corporation for Common Stock issued or deemed to have been issued pursuant to </w:t>
      </w:r>
      <w:r>
        <w:rPr>
          <w:rFonts w:ascii="Times New Roman;Times;Serif" w:hAnsi="Times New Roman;Times;Serif"/>
          <w:b w:val="false"/>
          <w:i w:val="false"/>
          <w:caps w:val="false"/>
          <w:smallCaps w:val="false"/>
          <w:sz w:val="20"/>
          <w:u w:val="single"/>
        </w:rPr>
        <w:t>Section 7(c)(ii),</w:t>
      </w:r>
      <w:r>
        <w:rPr>
          <w:rFonts w:ascii="Times New Roman;Times;Serif" w:hAnsi="Times New Roman;Times;Serif"/>
          <w:b w:val="false"/>
          <w:i w:val="false"/>
          <w:caps w:val="false"/>
          <w:smallCaps w:val="false"/>
          <w:sz w:val="20"/>
        </w:rPr>
        <w:t xml:space="preserve"> relating to Options and Convertible Securities, shall be determined by dividing:</w:t>
      </w:r>
    </w:p>
    <w:p>
      <w:pPr>
        <w:pStyle w:val="TextBody"/>
        <w:bidi w:val="0"/>
        <w:spacing w:before="0" w:after="0"/>
        <w:ind w:left="3608" w:right="0" w:hanging="722"/>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tc>
      </w:tr>
    </w:tbl>
    <w:p>
      <w:pPr>
        <w:pStyle w:val="TextBody"/>
        <w:bidi w:val="0"/>
        <w:spacing w:before="0" w:after="0"/>
        <w:ind w:left="3607" w:right="0" w:hanging="719"/>
        <w:jc w:val="both"/>
        <w:rPr>
          <w:caps w:val="false"/>
          <w:smallCaps w:val="false"/>
        </w:rPr>
      </w:pPr>
      <w:r>
        <w:rPr>
          <w:caps w:val="false"/>
          <w:smallCaps w:val="false"/>
        </w:rPr>
        <w:t> </w:t>
      </w:r>
    </w:p>
    <w:p>
      <w:pPr>
        <w:pStyle w:val="TextBody"/>
        <w:bidi w:val="0"/>
        <w:spacing w:before="0" w:after="0"/>
        <w:ind w:left="3607" w:right="0" w:hanging="71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3607" w:right="0" w:hanging="71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00"/>
        <w:gridCol w:w="9931"/>
      </w:tblGrid>
      <w:tr>
        <w:trPr/>
        <w:tc>
          <w:tcPr>
            <w:tcW w:w="7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 xml:space="preserve">the maximum number of shares of Common Stock (as set forth in the instruments relating thereto, without regard to any provision contained therein for a subsequent adjustment of such number) deemed to be issued pursuant to </w:t>
            </w:r>
            <w:r>
              <w:rPr>
                <w:u w:val="single"/>
              </w:rPr>
              <w:t>Section 7</w:t>
            </w:r>
            <w:r>
              <w:rPr>
                <w:i/>
                <w:u w:val="single"/>
              </w:rPr>
              <w:t>(</w:t>
            </w:r>
            <w:r>
              <w:rPr>
                <w:u w:val="single"/>
              </w:rPr>
              <w:t>c)(ii)</w:t>
            </w:r>
            <w:r>
              <w:rPr/>
              <w:t xml:space="preserve"> upon the issuance of such Options or Convertible Securities.</w:t>
            </w:r>
          </w:p>
        </w:tc>
      </w:tr>
      <w:tr>
        <w:trPr/>
        <w:tc>
          <w:tcPr>
            <w:tcW w:w="7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67"/>
        <w:gridCol w:w="519"/>
        <w:gridCol w:w="9619"/>
      </w:tblGrid>
      <w:tr>
        <w:trPr/>
        <w:tc>
          <w:tcPr>
            <w:tcW w:w="6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(ii)</w:t>
            </w:r>
          </w:p>
        </w:tc>
        <w:tc>
          <w:tcPr>
            <w:tcW w:w="9619" w:type="dxa"/>
            <w:tcBorders/>
            <w:vAlign w:val="center"/>
          </w:tcPr>
          <w:p>
            <w:pPr>
              <w:pStyle w:val="TableContents"/>
              <w:bidi w:val="0"/>
              <w:spacing w:before="0" w:after="283"/>
              <w:jc w:val="left"/>
              <w:rPr>
                <w:u w:val="single"/>
              </w:rPr>
            </w:pPr>
            <w:r>
              <w:rPr>
                <w:u w:val="single"/>
              </w:rPr>
              <w:t>Deemed Issuance of Options and Convertible Securities.</w:t>
            </w:r>
          </w:p>
        </w:tc>
      </w:tr>
    </w:tbl>
    <w:p>
      <w:pPr>
        <w:pStyle w:val="TextBody"/>
        <w:bidi w:val="0"/>
        <w:spacing w:before="0" w:after="0"/>
        <w:ind w:left="3605" w:right="0" w:hanging="71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If the Corporation at any time or from time to time shall issue any Options or Convertible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outstanding and to have been issued as of the time of such issue or, in case such a record date shall have been fixed, as of the close of business on such record date.</w:t>
            </w:r>
          </w:p>
        </w:tc>
      </w:tr>
    </w:tbl>
    <w:p>
      <w:pPr>
        <w:pStyle w:val="TextBody"/>
        <w:bidi w:val="0"/>
        <w:spacing w:before="0" w:after="0"/>
        <w:ind w:left="3605" w:right="0" w:hanging="71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 xml:space="preserve">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Common Stock increases or decreases at any time (other than (i) proportional changes in conversion or exercise prices, as applicable, in connection with an event referred to in </w:t>
            </w:r>
            <w:r>
              <w:rPr>
                <w:u w:val="single"/>
              </w:rPr>
              <w:t>Section 7(a)</w:t>
            </w:r>
            <w:r>
              <w:rPr/>
              <w:t xml:space="preserve"> above and (ii) automatic adjustments to such terms pursuant to anti-dilution or similar provisions of such Option or Convertible Security which are not more favorable to the holder thereof than the anti-dilution and similar provisions set forth herein),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w:t>
            </w:r>
            <w:r>
              <w:rPr>
                <w:u w:val="single"/>
              </w:rPr>
              <w:t>Section 7(c)</w:t>
            </w:r>
            <w:r>
              <w:rPr/>
              <w:t xml:space="preserve">, if the terms of any Option or Convertible Security that was outstanding as of the date of first issuance of a share of Preferred Stock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w:t>
            </w:r>
            <w:r>
              <w:rPr>
                <w:u w:val="single"/>
              </w:rPr>
              <w:t>Section 7(c)(ii)</w:t>
            </w:r>
            <w:r>
              <w:rPr/>
              <w:t xml:space="preserve"> shall be made if such adjustment would result in an increase of the Conversion Price then in effect.</w:t>
            </w:r>
          </w:p>
        </w:tc>
      </w:tr>
    </w:tbl>
    <w:p>
      <w:pPr>
        <w:pStyle w:val="TextBody"/>
        <w:bidi w:val="0"/>
        <w:spacing w:before="0" w:after="0"/>
        <w:ind w:left="3608" w:right="0" w:hanging="723"/>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3608" w:right="0" w:hanging="72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862"/>
        <w:gridCol w:w="9250"/>
      </w:tblGrid>
      <w:tr>
        <w:trPr/>
        <w:tc>
          <w:tcPr>
            <w:tcW w:w="9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pPr>
            <w:r>
              <w:rPr/>
              <w:t>(iii)</w:t>
            </w:r>
          </w:p>
        </w:tc>
        <w:tc>
          <w:tcPr>
            <w:tcW w:w="9250" w:type="dxa"/>
            <w:tcBorders/>
            <w:vAlign w:val="center"/>
          </w:tcPr>
          <w:p>
            <w:pPr>
              <w:pStyle w:val="TableContents"/>
              <w:bidi w:val="0"/>
              <w:spacing w:before="0" w:after="283"/>
              <w:jc w:val="left"/>
              <w:rPr>
                <w:u w:val="single"/>
              </w:rPr>
            </w:pPr>
            <w:r>
              <w:rPr>
                <w:u w:val="single"/>
              </w:rPr>
              <w:t>Calculation of Consideration Received.</w:t>
            </w:r>
          </w:p>
        </w:tc>
      </w:tr>
    </w:tbl>
    <w:p>
      <w:pPr>
        <w:pStyle w:val="TextBody"/>
        <w:bidi w:val="0"/>
        <w:spacing w:before="0" w:after="0"/>
        <w:ind w:left="3607" w:right="0" w:hanging="721"/>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In case one or more Option is issued in connection with the issue or sale of other securities of the Corporation, together comprising one integrated transaction, (x) each such Option will be deemed to have been issued for the Option Value of such Option and (y) the other securities issued or sold in such integrated transaction shall be deemed to have been issued or sold for the difference of (I) the aggregate consideration received by the Corporation less any consideration paid or payable by the Corporation pursuant to the terms of such other securities of the Corporation, less (II) the Option Value of each such Option.</w:t>
            </w:r>
          </w:p>
        </w:tc>
      </w:tr>
    </w:tbl>
    <w:p>
      <w:pPr>
        <w:pStyle w:val="TextBody"/>
        <w:bidi w:val="0"/>
        <w:spacing w:before="0" w:after="0"/>
        <w:ind w:left="3605" w:right="0" w:hanging="71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 xml:space="preserve">If any shares of Common Stock, Options or Convertible Securities are issued or sold or deemed to have been issued or sold for cash, the consideration other than cash received therefor will be deemed to be the net amount received by the Corporation therefor. If any shares of Common Stock, Options or Convertible Securities are issued or sold for a consideration other than cash, the amount of such consideration received by the Corporation will be the fair value of such consideration, except where such consideration consists of publicly traded securities, in which case the amount of consideration received by the Corporation will be the VWAP of such publicly traded securities on the date of receipt. If any shares of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Corporation and the Required Holders. If such parties are unable to reach agreement within ten </w:t>
            </w:r>
            <w:r>
              <w:rPr>
                <w:sz w:val="20"/>
              </w:rPr>
              <w:t>(10) days after the occurrence of an event requiring valuation (the “</w:t>
            </w:r>
            <w:r>
              <w:rPr>
                <w:b/>
                <w:sz w:val="20"/>
              </w:rPr>
              <w:t xml:space="preserve">Valuation Event”), </w:t>
            </w:r>
            <w:r>
              <w:rPr>
                <w:sz w:val="20"/>
              </w:rPr>
              <w:t>the fair value of such consideration will be determined within five (5) Business Days after the tenth (10th) day following the Valuation Event by an independent, reputable appraiser jointly selected by the Corporation and the Required Holders. The determination of such appraiser shall be final and binding upon all parties absent manifest error and the fees and expenses of such appraiser shall be borne by the Corporation.</w:t>
            </w:r>
          </w:p>
        </w:tc>
      </w:tr>
    </w:tbl>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xml:space="preserve"> If the Corporation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2165" w:right="0" w:firstLine="720"/>
        <w:jc w:val="both"/>
        <w:rPr>
          <w:caps w:val="false"/>
          <w:smallCaps w:val="false"/>
        </w:rPr>
      </w:pPr>
      <w:r>
        <w:rPr>
          <w:caps w:val="false"/>
          <w:smallCaps w:val="false"/>
        </w:rPr>
        <w:t> </w:t>
      </w:r>
    </w:p>
    <w:p>
      <w:pPr>
        <w:pStyle w:val="TextBody"/>
        <w:bidi w:val="0"/>
        <w:spacing w:before="0" w:after="0"/>
        <w:ind w:left="2165"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2165" w:right="0" w:firstLine="720"/>
        <w:jc w:val="both"/>
        <w:rPr>
          <w:caps w:val="false"/>
          <w:smallCaps w:val="false"/>
        </w:rPr>
      </w:pPr>
      <w:r>
        <w:rPr>
          <w:caps w:val="false"/>
          <w:smallCaps w:val="false"/>
        </w:rPr>
        <w:t> </w:t>
      </w:r>
    </w:p>
    <w:p>
      <w:pPr>
        <w:pStyle w:val="TextBody"/>
        <w:bidi w:val="0"/>
        <w:spacing w:before="0" w:after="0"/>
        <w:ind w:left="2165"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Expiration or Termination of Options or Convertible Securities.</w:t>
      </w:r>
      <w:r>
        <w:rPr>
          <w:rFonts w:ascii="Times New Roman;Times;Serif" w:hAnsi="Times New Roman;Times;Serif"/>
          <w:b w:val="false"/>
          <w:i w:val="false"/>
          <w:caps w:val="false"/>
          <w:smallCaps w:val="false"/>
          <w:sz w:val="20"/>
        </w:rPr>
        <w:t xml:space="preserve"> Upon the expiration or termination of any unexercised Option or unconverted or unexchanged Convertible Securities (or portion thereof) which resulted (either upon its original issuance or upon a revision of its terms) in an adjustment to the Conversion Price pursuant to the terms of </w:t>
      </w:r>
      <w:r>
        <w:rPr>
          <w:rFonts w:ascii="Times New Roman;Times;Serif" w:hAnsi="Times New Roman;Times;Serif"/>
          <w:b w:val="false"/>
          <w:i w:val="false"/>
          <w:caps w:val="false"/>
          <w:smallCaps w:val="false"/>
          <w:sz w:val="20"/>
          <w:u w:val="single"/>
        </w:rPr>
        <w:t>Section 7(c)</w:t>
      </w:r>
      <w:r>
        <w:rPr>
          <w:rFonts w:ascii="Times New Roman;Times;Serif" w:hAnsi="Times New Roman;Times;Serif"/>
          <w:b w:val="false"/>
          <w:i w:val="false"/>
          <w:caps w:val="false"/>
          <w:smallCaps w:val="false"/>
          <w:sz w:val="20"/>
        </w:rPr>
        <w:t>, the Conversion Price shall be readjusted to such Conversion Price as would have obtained had such Option or Convertible Securities (or portion thereof) never been issued.</w:t>
      </w:r>
    </w:p>
    <w:p>
      <w:pPr>
        <w:pStyle w:val="TextBody"/>
        <w:bidi w:val="0"/>
        <w:spacing w:before="0" w:after="0"/>
        <w:ind w:left="1431" w:right="0" w:firstLine="732"/>
        <w:jc w:val="both"/>
        <w:rPr>
          <w:caps w:val="false"/>
          <w:smallCaps w:val="false"/>
        </w:rPr>
      </w:pPr>
      <w:r>
        <w:rPr>
          <w:caps w:val="false"/>
          <w:smallCaps w:val="false"/>
        </w:rPr>
        <w:t> </w:t>
      </w:r>
    </w:p>
    <w:p>
      <w:pPr>
        <w:pStyle w:val="TextBody"/>
        <w:bidi w:val="0"/>
        <w:spacing w:before="0" w:after="0"/>
        <w:ind w:left="1431" w:right="0" w:firstLine="7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xml:space="preserve"> In addition to any adjustments pursuant to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7(c)</w:t>
      </w:r>
      <w:r>
        <w:rPr>
          <w:rFonts w:ascii="Times New Roman;Times;Serif" w:hAnsi="Times New Roman;Times;Serif"/>
          <w:b w:val="false"/>
          <w:i w:val="false"/>
          <w:caps w:val="false"/>
          <w:smallCaps w:val="false"/>
          <w:sz w:val="20"/>
        </w:rPr>
        <w:t xml:space="preserve"> above, if at any time the Corporation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i w:val="false"/>
          <w:caps w:val="false"/>
          <w:smallCaps w:val="false"/>
          <w:sz w:val="20"/>
        </w:rPr>
        <w:t xml:space="preserve">Purchase Rights”), </w:t>
      </w:r>
      <w:r>
        <w:rPr>
          <w:rFonts w:ascii="Times New Roman;Times;Serif" w:hAnsi="Times New Roman;Times;Serif"/>
          <w:b w:val="false"/>
          <w:i w:val="false"/>
          <w:caps w:val="false"/>
          <w:smallCaps w:val="false"/>
          <w:sz w:val="20"/>
        </w:rPr>
        <w:t xml:space="preserve">then the Holders will be entitled to acquire, upon the terms applicable to such Purchase Rights, the aggregate Purchase Rights which the Holder could have acquired if the Holder had held the number of shares of Common Stock acquirable upon complete conversion of such Holder’s Preferred Stock (without regard to any limitations on conversion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caps w:val="false"/>
          <w:smallCaps w:val="false"/>
          <w:sz w:val="20"/>
          <w:u w:val="single"/>
        </w:rPr>
        <w:t>(provided, however,</w:t>
      </w:r>
      <w:r>
        <w:rPr>
          <w:rFonts w:ascii="Times New Roman;Times;Serif" w:hAnsi="Times New Roman;Times;Serif"/>
          <w:b w:val="false"/>
          <w:i w:val="false"/>
          <w:caps w:val="false"/>
          <w:smallCaps w:val="false"/>
          <w:sz w:val="20"/>
        </w:rPr>
        <w:t xml:space="preserve">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To the extent that the issue price of such Purchase Rights would result in an adjustment of the Conversion Price pursuant to </w:t>
      </w:r>
      <w:r>
        <w:rPr>
          <w:rFonts w:ascii="Times New Roman;Times;Serif" w:hAnsi="Times New Roman;Times;Serif"/>
          <w:b w:val="false"/>
          <w:i w:val="false"/>
          <w:caps w:val="false"/>
          <w:smallCaps w:val="false"/>
          <w:sz w:val="20"/>
          <w:u w:val="single"/>
        </w:rPr>
        <w:t>Section 7(c)</w:t>
      </w:r>
      <w:r>
        <w:rPr>
          <w:rFonts w:ascii="Times New Roman;Times;Serif" w:hAnsi="Times New Roman;Times;Serif"/>
          <w:b w:val="false"/>
          <w:i w:val="false"/>
          <w:caps w:val="false"/>
          <w:smallCaps w:val="false"/>
          <w:sz w:val="20"/>
        </w:rPr>
        <w:t>, such adjustment shall not occur to the extent the Holders were granted the right to acquire such Purchase Rights on the applicable terms.</w:t>
      </w:r>
    </w:p>
    <w:p>
      <w:pPr>
        <w:pStyle w:val="TextBody"/>
        <w:bidi w:val="0"/>
        <w:spacing w:before="0" w:after="0"/>
        <w:ind w:left="1440" w:right="0" w:firstLine="723"/>
        <w:jc w:val="left"/>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xml:space="preserve">. In addition to the requirements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during such time as this Preferred Stock is outstanding, if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 xml:space="preserve">Distribution”), </w:t>
      </w:r>
      <w:r>
        <w:rPr>
          <w:rFonts w:ascii="Times New Roman;Times;Serif" w:hAnsi="Times New Roman;Times;Serif"/>
          <w:b w:val="false"/>
          <w:i w:val="false"/>
          <w:caps w:val="false"/>
          <w:smallCaps w:val="false"/>
          <w:sz w:val="20"/>
        </w:rPr>
        <w:t xml:space="preserve">in each such case, the Holders shall be entitled to participate in such Distribution to the same extent that the Holders would have participated therein if the Holder had held the number of shares of Common Stock acquirable upon complete conversion of this Preferred Stock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such grant, issuance or sale, as its right thereto would not result in the Holder exceeding the Beneficial Ownership Limitation).</w:t>
      </w:r>
    </w:p>
    <w:p>
      <w:pPr>
        <w:pStyle w:val="TextBody"/>
        <w:bidi w:val="0"/>
        <w:spacing w:before="0" w:after="0"/>
        <w:ind w:left="2884" w:right="0" w:hanging="720"/>
        <w:jc w:val="left"/>
        <w:rPr>
          <w:caps w:val="false"/>
          <w:smallCaps w:val="false"/>
        </w:rPr>
      </w:pPr>
      <w:r>
        <w:rPr>
          <w:caps w:val="false"/>
          <w:smallCaps w:val="false"/>
        </w:rPr>
        <w:t> </w:t>
      </w:r>
    </w:p>
    <w:p>
      <w:pPr>
        <w:pStyle w:val="TextBody"/>
        <w:bidi w:val="0"/>
        <w:spacing w:before="0" w:after="0"/>
        <w:ind w:left="2884"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2884"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900"/>
        <w:gridCol w:w="9166"/>
      </w:tblGrid>
      <w:tr>
        <w:trPr/>
        <w:tc>
          <w:tcPr>
            <w:tcW w:w="13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pPr>
            <w:r>
              <w:rPr/>
              <w:t>(f)</w:t>
            </w:r>
          </w:p>
        </w:tc>
        <w:tc>
          <w:tcPr>
            <w:tcW w:w="9166" w:type="dxa"/>
            <w:tcBorders/>
            <w:vAlign w:val="center"/>
          </w:tcPr>
          <w:p>
            <w:pPr>
              <w:pStyle w:val="TableContents"/>
              <w:bidi w:val="0"/>
              <w:spacing w:before="0" w:after="283"/>
              <w:jc w:val="left"/>
              <w:rPr>
                <w:u w:val="single"/>
              </w:rPr>
            </w:pPr>
            <w:r>
              <w:rPr>
                <w:u w:val="single"/>
              </w:rPr>
              <w:t>Fundamental Transaction.</w:t>
            </w:r>
          </w:p>
        </w:tc>
      </w:tr>
    </w:tbl>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at any time while this Preferred Stock is outstanding, (i) the Corporation, directly or indirectly, in one or more related transactions effects any merger or consolidation of the Corporation with or into another Person, (ii) the Corporation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Corporation,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stock split, combination or reclassification of shares of Common Stock covered by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xml:space="preserve">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50% or more of the outstanding shares of Common Stock or 50% or more of the voting power of the common equity of the Corporation, and such event(s) do not constitute a Deemed Liquidation Event (each a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xml:space="preserve"> then, upon any subsequent conversion of this Preferred Stock, the Holder shall have the right to receive, for each Conversion Share that would have been issuable upon such conversion immediately prior to the occurrence of such Fundamental Transaction (without regard to any limitation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xml:space="preserve"> on the conversion of this Preferred Stock), the number of shares of capital stock of the successor or acquiring corporation or of the Corporation, if it is the surviving corporation, and any additional consideration (the “</w:t>
      </w:r>
      <w:r>
        <w:rPr>
          <w:rFonts w:ascii="Times New Roman;Times;Serif" w:hAnsi="Times New Roman;Times;Serif"/>
          <w:b/>
          <w:i w:val="false"/>
          <w:caps w:val="false"/>
          <w:smallCaps w:val="false"/>
          <w:sz w:val="20"/>
        </w:rPr>
        <w:t xml:space="preserve">Alternate Consideration”) </w:t>
      </w:r>
      <w:r>
        <w:rPr>
          <w:rFonts w:ascii="Times New Roman;Times;Serif" w:hAnsi="Times New Roman;Times;Serif"/>
          <w:b w:val="false"/>
          <w:i w:val="false"/>
          <w:caps w:val="false"/>
          <w:smallCaps w:val="false"/>
          <w:sz w:val="20"/>
        </w:rPr>
        <w:t xml:space="preserve">receivable as a result of such Fundamental Transaction by a holder of the number of shares of Common Stock for which this Preferred Stock is convertible immediately prior to such Fundamental Transaction (without regard to any limitation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xml:space="preserve"> on the conversion of this Preferred Stock).</w:t>
      </w:r>
    </w:p>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w:t>
      </w:r>
    </w:p>
    <w:p>
      <w:pPr>
        <w:pStyle w:val="TextBody"/>
        <w:bidi w:val="0"/>
        <w:spacing w:before="0" w:after="0"/>
        <w:ind w:left="2161" w:right="0" w:firstLine="723"/>
        <w:jc w:val="left"/>
        <w:rPr>
          <w:caps w:val="false"/>
          <w:smallCaps w:val="false"/>
        </w:rPr>
      </w:pPr>
      <w:r>
        <w:rPr>
          <w:caps w:val="false"/>
          <w:smallCaps w:val="false"/>
        </w:rPr>
        <w:t> </w:t>
      </w:r>
    </w:p>
    <w:p>
      <w:pPr>
        <w:pStyle w:val="TextBody"/>
        <w:bidi w:val="0"/>
        <w:spacing w:before="0" w:after="0"/>
        <w:ind w:left="2161" w:right="0" w:firstLine="72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2161" w:right="0" w:firstLine="723"/>
        <w:jc w:val="left"/>
        <w:rPr>
          <w:caps w:val="false"/>
          <w:smallCaps w:val="false"/>
        </w:rPr>
      </w:pPr>
      <w:r>
        <w:rPr>
          <w:caps w:val="false"/>
          <w:smallCaps w:val="false"/>
        </w:rPr>
        <w:t> </w:t>
      </w:r>
    </w:p>
    <w:p>
      <w:pPr>
        <w:pStyle w:val="TextBody"/>
        <w:bidi w:val="0"/>
        <w:spacing w:before="0" w:after="0"/>
        <w:ind w:left="2161"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Corporation shall cause any successor entity in a Fundamental Transaction in which the Corporation is not the survivor (the “</w:t>
      </w:r>
      <w:r>
        <w:rPr>
          <w:rFonts w:ascii="Times New Roman;Times;Serif" w:hAnsi="Times New Roman;Times;Serif"/>
          <w:b/>
          <w:i w:val="false"/>
          <w:caps w:val="false"/>
          <w:smallCaps w:val="false"/>
          <w:sz w:val="20"/>
        </w:rPr>
        <w:t xml:space="preserve">Successor Entity”) </w:t>
      </w:r>
      <w:r>
        <w:rPr>
          <w:rFonts w:ascii="Times New Roman;Times;Serif" w:hAnsi="Times New Roman;Times;Serif"/>
          <w:b w:val="false"/>
          <w:i w:val="false"/>
          <w:caps w:val="false"/>
          <w:smallCaps w:val="false"/>
          <w:sz w:val="20"/>
        </w:rPr>
        <w:t xml:space="preserve">to assume in writing all of the obligations of the Corporation under this Certificate of Designation and the Registration Rights Agreement in accordance with the provisions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caps w:val="false"/>
          <w:smallCaps w:val="false"/>
          <w:sz w:val="20"/>
          <w:u w:val="single"/>
        </w:rPr>
        <w:t>(f)</w:t>
      </w:r>
      <w:r>
        <w:rPr>
          <w:rFonts w:ascii="Times New Roman;Times;Serif" w:hAnsi="Times New Roman;Times;Serif"/>
          <w:b w:val="false"/>
          <w:i w:val="false"/>
          <w:caps w:val="false"/>
          <w:smallCaps w:val="false"/>
          <w:sz w:val="20"/>
        </w:rPr>
        <w:t xml:space="preserve"> pursuant to written agreements in form and substance reasonably satisfactory to the Required Holders and approved by the Required Holders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in form and substance to the Required Holders.</w:t>
      </w:r>
    </w:p>
    <w:p>
      <w:pPr>
        <w:pStyle w:val="TextBody"/>
        <w:bidi w:val="0"/>
        <w:spacing w:before="0" w:after="0"/>
        <w:ind w:left="1443" w:right="0" w:firstLine="720"/>
        <w:jc w:val="both"/>
        <w:rPr>
          <w:caps w:val="false"/>
          <w:smallCaps w:val="false"/>
        </w:rPr>
      </w:pPr>
      <w:r>
        <w:rPr>
          <w:caps w:val="false"/>
          <w:smallCaps w:val="false"/>
        </w:rPr>
        <w:t> </w:t>
      </w:r>
    </w:p>
    <w:p>
      <w:pPr>
        <w:pStyle w:val="TextBody"/>
        <w:bidi w:val="0"/>
        <w:spacing w:before="0" w:after="0"/>
        <w:ind w:left="1443"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xml:space="preserve"> All calculations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made to the nearest cent or the nearest 1/100th of a share, as the case may be. For purposes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0"/>
        <w:ind w:left="1443"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209"/>
        <w:gridCol w:w="8838"/>
      </w:tblGrid>
      <w:tr>
        <w:trPr/>
        <w:tc>
          <w:tcPr>
            <w:tcW w:w="15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pPr>
            <w:r>
              <w:rPr/>
              <w:t>(h)</w:t>
            </w:r>
          </w:p>
        </w:tc>
        <w:tc>
          <w:tcPr>
            <w:tcW w:w="8838" w:type="dxa"/>
            <w:tcBorders/>
            <w:vAlign w:val="center"/>
          </w:tcPr>
          <w:p>
            <w:pPr>
              <w:pStyle w:val="TableContents"/>
              <w:bidi w:val="0"/>
              <w:spacing w:before="0" w:after="283"/>
              <w:jc w:val="both"/>
              <w:rPr>
                <w:u w:val="single"/>
              </w:rPr>
            </w:pPr>
            <w:r>
              <w:rPr>
                <w:u w:val="single"/>
              </w:rPr>
              <w:t>Notice to the Holders.</w:t>
            </w:r>
          </w:p>
        </w:tc>
      </w:tr>
    </w:tbl>
    <w:p>
      <w:pPr>
        <w:pStyle w:val="TextBody"/>
        <w:bidi w:val="0"/>
        <w:spacing w:before="0" w:after="0"/>
        <w:ind w:left="2162" w:right="0" w:firstLine="722"/>
        <w:jc w:val="both"/>
        <w:rPr>
          <w:caps w:val="false"/>
          <w:smallCaps w:val="false"/>
        </w:rPr>
      </w:pPr>
      <w:r>
        <w:rPr>
          <w:caps w:val="false"/>
          <w:smallCaps w:val="false"/>
        </w:rPr>
        <w:t> </w:t>
      </w:r>
    </w:p>
    <w:p>
      <w:pPr>
        <w:pStyle w:val="TextBody"/>
        <w:bidi w:val="0"/>
        <w:spacing w:before="0" w:after="0"/>
        <w:ind w:left="2162" w:right="0" w:firstLine="7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Conversion Price.</w:t>
      </w:r>
      <w:r>
        <w:rPr>
          <w:rFonts w:ascii="Times New Roman;Times;Serif" w:hAnsi="Times New Roman;Times;Serif"/>
          <w:b w:val="false"/>
          <w:i w:val="false"/>
          <w:caps w:val="false"/>
          <w:smallCaps w:val="false"/>
          <w:sz w:val="20"/>
        </w:rPr>
        <w:t xml:space="preserve"> Whenever the Conversion Price is adjusted pursuant to any provision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the Corporation shall promptly deliver to each Holder by email a notice setting forth the Conversion Price after such adjustment and setting forth a brief statement of the facts requiring such adjustment.</w:t>
      </w:r>
    </w:p>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Conversion by Holder.</w:t>
      </w:r>
      <w:r>
        <w:rPr>
          <w:rFonts w:ascii="Times New Roman;Times;Serif" w:hAnsi="Times New Roman;Times;Serif"/>
          <w:b w:val="false"/>
          <w:i w:val="false"/>
          <w:caps w:val="false"/>
          <w:smallCaps w:val="false"/>
          <w:sz w:val="20"/>
        </w:rPr>
        <w:t xml:space="preserve"> If (A) the Corporation shall declare a dividend (or any other distribution in whatever form) on the Common Stock, (B) the Corporation shall declare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(and all of its Subsidiaries, taken as a whole),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by email to each Holder at its email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Times;Serif" w:hAnsi="Times New Roman;Times;Serif"/>
          <w:b w:val="false"/>
          <w:i/>
          <w:caps w:val="false"/>
          <w:smallCaps w:val="false"/>
          <w:sz w:val="20"/>
          <w:u w:val="single"/>
        </w:rPr>
        <w:t>provided that</w:t>
      </w:r>
      <w:r>
        <w:rPr>
          <w:rFonts w:ascii="Times New Roman;Times;Serif" w:hAnsi="Times New Roman;Times;Serif"/>
          <w:b w:val="false"/>
          <w:i w:val="false"/>
          <w:caps w:val="false"/>
          <w:smallCaps w:val="false"/>
          <w:sz w:val="20"/>
        </w:rPr>
        <w:t xml:space="preserve">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or any of the Subsidiaries, the Corporation shall simultaneously file such notice with the Commission pursuant to a Current Report on Form 8-K, unless determined by the Corporation that such filing would be harmful to the Corporation at such time, in which case the Corporation shall file such 8-K as soon as is reasonably practicable in its discretion. For the avoidance of doubt, and without limiting the conversion rights of any Holder, each Holder shall remain entitled to convert the Accrued Value of this Preferred Stock (or any part hereof) during the twenty (20)-day period commencing on the date of such notice through the effective date of the event triggering such notice except as may otherwise be expressly set forth herein.</w:t>
      </w:r>
    </w:p>
    <w:p>
      <w:pPr>
        <w:pStyle w:val="TextBody"/>
        <w:bidi w:val="0"/>
        <w:spacing w:before="0" w:after="0"/>
        <w:ind w:left="2166" w:right="0" w:hanging="0"/>
        <w:jc w:val="both"/>
        <w:rPr>
          <w:caps w:val="false"/>
          <w:smallCaps w:val="false"/>
        </w:rPr>
      </w:pPr>
      <w:r>
        <w:rPr>
          <w:caps w:val="false"/>
          <w:smallCaps w:val="false"/>
        </w:rPr>
        <w:t> </w:t>
      </w:r>
    </w:p>
    <w:p>
      <w:pPr>
        <w:pStyle w:val="TextBody"/>
        <w:bidi w:val="0"/>
        <w:spacing w:before="0" w:after="0"/>
        <w:ind w:left="216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2166" w:right="0" w:hanging="0"/>
        <w:jc w:val="both"/>
        <w:rPr>
          <w:caps w:val="false"/>
          <w:smallCaps w:val="false"/>
        </w:rPr>
      </w:pPr>
      <w:r>
        <w:rPr>
          <w:caps w:val="false"/>
          <w:smallCaps w:val="false"/>
        </w:rPr>
        <w:t> </w:t>
      </w:r>
    </w:p>
    <w:p>
      <w:pPr>
        <w:pStyle w:val="TextBody"/>
        <w:bidi w:val="0"/>
        <w:spacing w:before="0" w:after="0"/>
        <w:ind w:left="216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Redemption.</w:t>
      </w:r>
    </w:p>
    <w:p>
      <w:pPr>
        <w:pStyle w:val="TextBody"/>
        <w:bidi w:val="0"/>
        <w:spacing w:before="0" w:after="0"/>
        <w:ind w:left="1443" w:right="0" w:firstLine="720"/>
        <w:jc w:val="both"/>
        <w:rPr>
          <w:caps w:val="false"/>
          <w:smallCaps w:val="false"/>
        </w:rPr>
      </w:pPr>
      <w:r>
        <w:rPr>
          <w:caps w:val="false"/>
          <w:smallCaps w:val="false"/>
        </w:rPr>
        <w:t> </w:t>
      </w:r>
    </w:p>
    <w:p>
      <w:pPr>
        <w:pStyle w:val="TextBody"/>
        <w:bidi w:val="0"/>
        <w:spacing w:before="0" w:after="0"/>
        <w:ind w:left="1443"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Redemption by the Corporation.</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unless prohibited by applicable law governing distributions to stockholders, the Corporation may, in its sole discretion, redeem all or a portion of the outstanding shares of Preferred Stock:</w:t>
      </w:r>
    </w:p>
    <w:p>
      <w:pPr>
        <w:pStyle w:val="TextBody"/>
        <w:bidi w:val="0"/>
        <w:spacing w:before="0" w:after="0"/>
        <w:ind w:left="2165" w:right="0" w:firstLine="720"/>
        <w:jc w:val="both"/>
        <w:rPr>
          <w:caps w:val="false"/>
          <w:smallCaps w:val="false"/>
        </w:rPr>
      </w:pPr>
      <w:r>
        <w:rPr>
          <w:caps w:val="false"/>
          <w:smallCaps w:val="false"/>
        </w:rPr>
        <w:t> </w:t>
      </w:r>
    </w:p>
    <w:p>
      <w:pPr>
        <w:pStyle w:val="TextBody"/>
        <w:bidi w:val="0"/>
        <w:spacing w:before="0" w:after="0"/>
        <w:ind w:left="2165"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or after the Closing but prior to the first anniversary of the Closing, at a redemption price per share equal to 150% of the Accrued Value;</w:t>
      </w:r>
    </w:p>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or after the first anniversary of the Closing but prior to the second anniversary of the Closing, at a redemption price per share equal to 140% of the Accrued Value;</w:t>
      </w:r>
    </w:p>
    <w:p>
      <w:pPr>
        <w:pStyle w:val="TextBody"/>
        <w:bidi w:val="0"/>
        <w:spacing w:before="0" w:after="0"/>
        <w:ind w:left="2164" w:right="0" w:firstLine="721"/>
        <w:jc w:val="both"/>
        <w:rPr>
          <w:caps w:val="false"/>
          <w:smallCaps w:val="false"/>
        </w:rPr>
      </w:pPr>
      <w:r>
        <w:rPr>
          <w:caps w:val="false"/>
          <w:smallCaps w:val="false"/>
        </w:rPr>
        <w:t> </w:t>
      </w:r>
    </w:p>
    <w:p>
      <w:pPr>
        <w:pStyle w:val="TextBody"/>
        <w:bidi w:val="0"/>
        <w:spacing w:before="0" w:after="0"/>
        <w:ind w:left="2164"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or after the second anniversary of the Closing but prior to the third anniversary of the Closing, at a redemption price per share equal to 130% of the Accrued Value;</w:t>
      </w:r>
    </w:p>
    <w:p>
      <w:pPr>
        <w:pStyle w:val="TextBody"/>
        <w:bidi w:val="0"/>
        <w:spacing w:before="0" w:after="0"/>
        <w:ind w:left="2164" w:right="0" w:firstLine="720"/>
        <w:jc w:val="both"/>
        <w:rPr>
          <w:caps w:val="false"/>
          <w:smallCaps w:val="false"/>
        </w:rPr>
      </w:pPr>
      <w:r>
        <w:rPr>
          <w:caps w:val="false"/>
          <w:smallCaps w:val="false"/>
        </w:rPr>
        <w:t> </w:t>
      </w:r>
    </w:p>
    <w:p>
      <w:pPr>
        <w:pStyle w:val="TextBody"/>
        <w:bidi w:val="0"/>
        <w:spacing w:before="0" w:after="0"/>
        <w:ind w:left="2164"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on or after the third anniversary of the Closing but prior to the fourth anniversary of the Closing, at a redemption price per share equal to 120% of the Accrued Value;</w:t>
      </w:r>
    </w:p>
    <w:p>
      <w:pPr>
        <w:pStyle w:val="TextBody"/>
        <w:bidi w:val="0"/>
        <w:spacing w:before="0" w:after="0"/>
        <w:ind w:left="2164" w:right="0" w:firstLine="721"/>
        <w:jc w:val="both"/>
        <w:rPr>
          <w:caps w:val="false"/>
          <w:smallCaps w:val="false"/>
        </w:rPr>
      </w:pPr>
      <w:r>
        <w:rPr>
          <w:caps w:val="false"/>
          <w:smallCaps w:val="false"/>
        </w:rPr>
        <w:t> </w:t>
      </w:r>
    </w:p>
    <w:p>
      <w:pPr>
        <w:pStyle w:val="TextBody"/>
        <w:bidi w:val="0"/>
        <w:spacing w:before="0" w:after="0"/>
        <w:ind w:left="2164"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on or after the fourth anniversary of the Closing but prior to the fifth anniversary of the Closing, at a redemption price per share equal to 110% of the Accrued Value; and</w:t>
      </w:r>
    </w:p>
    <w:p>
      <w:pPr>
        <w:pStyle w:val="TextBody"/>
        <w:bidi w:val="0"/>
        <w:spacing w:before="0" w:after="0"/>
        <w:ind w:left="2167" w:right="0" w:firstLine="718"/>
        <w:jc w:val="left"/>
        <w:rPr>
          <w:caps w:val="false"/>
          <w:smallCaps w:val="false"/>
        </w:rPr>
      </w:pPr>
      <w:r>
        <w:rPr>
          <w:caps w:val="false"/>
          <w:smallCaps w:val="false"/>
        </w:rPr>
        <w:t> </w:t>
      </w:r>
    </w:p>
    <w:p>
      <w:pPr>
        <w:pStyle w:val="TextBody"/>
        <w:bidi w:val="0"/>
        <w:spacing w:before="0" w:after="0"/>
        <w:ind w:left="2167" w:right="0" w:firstLine="7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on or after the fifth anniversary of the Closing, at a redemption price per share equal to 100% of the Accrued Value.</w:t>
      </w:r>
    </w:p>
    <w:p>
      <w:pPr>
        <w:pStyle w:val="TextBody"/>
        <w:bidi w:val="0"/>
        <w:spacing w:before="0" w:after="0"/>
        <w:ind w:left="1432" w:right="0" w:firstLine="13"/>
        <w:jc w:val="both"/>
        <w:rPr>
          <w:caps w:val="false"/>
          <w:smallCaps w:val="false"/>
        </w:rPr>
      </w:pPr>
      <w:r>
        <w:rPr>
          <w:caps w:val="false"/>
          <w:smallCaps w:val="false"/>
        </w:rPr>
        <w:t> </w:t>
      </w:r>
    </w:p>
    <w:p>
      <w:pPr>
        <w:pStyle w:val="TextBody"/>
        <w:bidi w:val="0"/>
        <w:spacing w:before="0" w:after="0"/>
        <w:ind w:left="1432" w:right="0" w:firstLine="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date of such redemption, applicable law governing distributions to stockholders prevents the Corporation from redeeming all shares of Preferred Stock scheduled to be redeemed, the Corporation shall be entitled to ratably redeem the maximum number of shares that it may redeem consistent with such law and any Preferred Stock not so redeemed shall remain outstanding. The Corporation shall provide written notice (the “</w:t>
      </w:r>
      <w:r>
        <w:rPr>
          <w:rFonts w:ascii="Times New Roman;Times;Serif" w:hAnsi="Times New Roman;Times;Serif"/>
          <w:b/>
          <w:i w:val="false"/>
          <w:caps w:val="false"/>
          <w:smallCaps w:val="false"/>
          <w:sz w:val="20"/>
        </w:rPr>
        <w:t xml:space="preserve">Corporation Notice”) </w:t>
      </w:r>
      <w:r>
        <w:rPr>
          <w:rFonts w:ascii="Times New Roman;Times;Serif" w:hAnsi="Times New Roman;Times;Serif"/>
          <w:b w:val="false"/>
          <w:i w:val="false"/>
          <w:caps w:val="false"/>
          <w:smallCaps w:val="false"/>
          <w:sz w:val="20"/>
        </w:rPr>
        <w:t xml:space="preserve">by e-mail and first class mail postage prepaid, to each Holder of record (determined at the close of business on the Business Day next preceding the day on which the Corporation Notice is given) of the Preferred Stock to be redeemed, at the address last shown on the records of the Corporation for such Holder, notifying such Holder of the redemption to be effected, specifying the number of shares to be redeemed from such Holder, specifying the date of such redemption, the redemption price, the place at which payment may be obtained and calling upon such Holder to surrender to the Corporation, in the manner and at the place designated, his, her or its certificate or certificates representing the shares to be redeemed;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date of redemption shall be not less than 15 days from the date of the Corporation Notice. Except as otherwise provided herein, on or after the applicable date of redemption, each Holder to be redeemed shall surrender to the Corporation the certificate or certificates representing such shares, in the manner and at the place designated in the Corporation Notice, and thereupon the price of redemption of such shares shall be payable to the order of the person whose name appears on such certificate or certificates as the owner thereof and each surrendered certificate shall be cancelled. In the event less than all the shares represented by any such certificate are redeemed, a new certificate shall be issued representing the unredeemed shares. Notwithstanding anything herein to the contrary, each Holder shall remain entitled to convert all or a portion of the Accrued Value of its Preferred Stock (or any part thereof) at any time and from time to time during the 15-day period commencing on the date of the Corporation Notice through the applicable date of redemption.</w:t>
      </w:r>
    </w:p>
    <w:p>
      <w:pPr>
        <w:pStyle w:val="TextBody"/>
        <w:bidi w:val="0"/>
        <w:spacing w:before="0" w:after="0"/>
        <w:ind w:left="2884" w:right="0" w:hanging="720"/>
        <w:jc w:val="left"/>
        <w:rPr>
          <w:caps w:val="false"/>
          <w:smallCaps w:val="false"/>
        </w:rPr>
      </w:pPr>
      <w:r>
        <w:rPr>
          <w:caps w:val="false"/>
          <w:smallCaps w:val="false"/>
        </w:rPr>
        <w:t> </w:t>
      </w:r>
    </w:p>
    <w:p>
      <w:pPr>
        <w:pStyle w:val="TextBody"/>
        <w:bidi w:val="0"/>
        <w:spacing w:before="0" w:after="0"/>
        <w:ind w:left="2884"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2884"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976"/>
        <w:gridCol w:w="9102"/>
      </w:tblGrid>
      <w:tr>
        <w:trPr/>
        <w:tc>
          <w:tcPr>
            <w:tcW w:w="12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pPr>
            <w:r>
              <w:rPr/>
              <w:t>(b)</w:t>
            </w:r>
          </w:p>
        </w:tc>
        <w:tc>
          <w:tcPr>
            <w:tcW w:w="9102" w:type="dxa"/>
            <w:tcBorders/>
            <w:vAlign w:val="center"/>
          </w:tcPr>
          <w:p>
            <w:pPr>
              <w:pStyle w:val="TableContents"/>
              <w:bidi w:val="0"/>
              <w:spacing w:before="0" w:after="283"/>
              <w:jc w:val="left"/>
              <w:rPr>
                <w:u w:val="single"/>
              </w:rPr>
            </w:pPr>
            <w:r>
              <w:rPr>
                <w:u w:val="single"/>
              </w:rPr>
              <w:t>Redemption by the Holders.</w:t>
            </w:r>
          </w:p>
        </w:tc>
      </w:tr>
    </w:tbl>
    <w:p>
      <w:pPr>
        <w:pStyle w:val="TextBody"/>
        <w:bidi w:val="0"/>
        <w:spacing w:before="0" w:after="0"/>
        <w:ind w:left="2162" w:right="0" w:firstLine="723"/>
        <w:jc w:val="left"/>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Unless prohibited by applicable law governing distribution to stockholders, shares of Preferred Stock shall be redeemed by the Corporation at a purchase price equal to the Accrued Value (the “</w:t>
      </w:r>
      <w:r>
        <w:rPr>
          <w:rFonts w:ascii="Times New Roman;Times;Serif" w:hAnsi="Times New Roman;Times;Serif"/>
          <w:b/>
          <w:i w:val="false"/>
          <w:caps w:val="false"/>
          <w:smallCaps w:val="false"/>
          <w:sz w:val="20"/>
        </w:rPr>
        <w:t xml:space="preserve">Redemption Price”), </w:t>
      </w:r>
      <w:r>
        <w:rPr>
          <w:rFonts w:ascii="Times New Roman;Times;Serif" w:hAnsi="Times New Roman;Times;Serif"/>
          <w:b w:val="false"/>
          <w:i w:val="false"/>
          <w:caps w:val="false"/>
          <w:smallCaps w:val="false"/>
          <w:sz w:val="20"/>
        </w:rPr>
        <w:t>if at any time and from time to time after the fifth (5th) anniversary of the Closing, a Holder delivers to the Corporation a written notice demanding redemption of all of such Holder’s shares of Preferred Stock (the “</w:t>
      </w:r>
      <w:r>
        <w:rPr>
          <w:rFonts w:ascii="Times New Roman;Times;Serif" w:hAnsi="Times New Roman;Times;Serif"/>
          <w:b/>
          <w:i w:val="false"/>
          <w:caps w:val="false"/>
          <w:smallCaps w:val="false"/>
          <w:sz w:val="20"/>
        </w:rPr>
        <w:t>Redemption Request”).</w:t>
      </w:r>
      <w:r>
        <w:rPr>
          <w:rFonts w:ascii="Times New Roman;Times;Serif" w:hAnsi="Times New Roman;Times;Serif"/>
          <w:b w:val="false"/>
          <w:i w:val="false"/>
          <w:caps w:val="false"/>
          <w:smallCaps w:val="false"/>
          <w:sz w:val="20"/>
        </w:rPr>
        <w:t xml:space="preserve"> The 20th day after the date of the Corporation Notice shall be referred to as the “</w:t>
      </w:r>
      <w:r>
        <w:rPr>
          <w:rFonts w:ascii="Times New Roman;Times;Serif" w:hAnsi="Times New Roman;Times;Serif"/>
          <w:b/>
          <w:i w:val="false"/>
          <w:caps w:val="false"/>
          <w:smallCaps w:val="false"/>
          <w:sz w:val="20"/>
        </w:rPr>
        <w:t xml:space="preserve">Redemption Date.” </w:t>
      </w:r>
      <w:r>
        <w:rPr>
          <w:rFonts w:ascii="Times New Roman;Times;Serif" w:hAnsi="Times New Roman;Times;Serif"/>
          <w:b w:val="false"/>
          <w:i w:val="false"/>
          <w:caps w:val="false"/>
          <w:smallCaps w:val="false"/>
          <w:sz w:val="20"/>
        </w:rPr>
        <w:t>Upon receipt of a Redemption Request, the Corporation shall apply all of its assets to any such redemption, and to no other corporate purpose, until the Redemption Price has been paid in full, except to the extent prohibited by Delaware law governing distributions to stockholders.</w:t>
      </w:r>
    </w:p>
    <w:p>
      <w:pPr>
        <w:pStyle w:val="TextBody"/>
        <w:bidi w:val="0"/>
        <w:spacing w:before="0" w:after="0"/>
        <w:ind w:left="2162" w:right="0" w:firstLine="723"/>
        <w:jc w:val="left"/>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Following receipt of a Redemption Request, the Corporation shall send written notice of the mandatory redemption (the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xml:space="preserve"> to the redeeming Holder of record of Preferred Stock not less than 15 days prior to the Redemption Date. The Redemption Notice shall state:</w:t>
      </w:r>
    </w:p>
    <w:p>
      <w:pPr>
        <w:pStyle w:val="TextBody"/>
        <w:bidi w:val="0"/>
        <w:spacing w:before="0" w:after="0"/>
        <w:ind w:left="3608" w:right="0" w:hanging="72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the number of shares of Preferred Stock held by the Holder that the Corporation shall redeem on the Redemption Date;</w:t>
            </w:r>
          </w:p>
        </w:tc>
      </w:tr>
    </w:tbl>
    <w:p>
      <w:pPr>
        <w:pStyle w:val="TextBody"/>
        <w:bidi w:val="0"/>
        <w:spacing w:before="0" w:after="0"/>
        <w:ind w:left="3607" w:right="0" w:hanging="718"/>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418"/>
        <w:gridCol w:w="9631"/>
      </w:tblGrid>
      <w:tr>
        <w:trPr/>
        <w:tc>
          <w:tcPr>
            <w:tcW w:w="1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pPr>
            <w:r>
              <w:rPr/>
              <w:t>b.</w:t>
            </w:r>
          </w:p>
        </w:tc>
        <w:tc>
          <w:tcPr>
            <w:tcW w:w="9631" w:type="dxa"/>
            <w:tcBorders/>
            <w:vAlign w:val="center"/>
          </w:tcPr>
          <w:p>
            <w:pPr>
              <w:pStyle w:val="TableContents"/>
              <w:bidi w:val="0"/>
              <w:spacing w:before="0" w:after="283"/>
              <w:jc w:val="left"/>
              <w:rPr/>
            </w:pPr>
            <w:r>
              <w:rPr/>
              <w:t>the Redemption Date and the Redemption Price;</w:t>
            </w:r>
          </w:p>
        </w:tc>
      </w:tr>
      <w:tr>
        <w:trPr/>
        <w:tc>
          <w:tcPr>
            <w:tcW w:w="156"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963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51"/>
        <w:gridCol w:w="250"/>
        <w:gridCol w:w="9904"/>
      </w:tblGrid>
      <w:tr>
        <w:trPr/>
        <w:tc>
          <w:tcPr>
            <w:tcW w:w="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c.</w:t>
            </w:r>
          </w:p>
        </w:tc>
        <w:tc>
          <w:tcPr>
            <w:tcW w:w="9904" w:type="dxa"/>
            <w:tcBorders/>
            <w:vAlign w:val="center"/>
          </w:tcPr>
          <w:p>
            <w:pPr>
              <w:pStyle w:val="TableContents"/>
              <w:bidi w:val="0"/>
              <w:spacing w:before="0" w:after="283"/>
              <w:jc w:val="both"/>
              <w:rPr/>
            </w:pPr>
            <w:r>
              <w:rPr/>
              <w:t>the date upon which the Holder’s right to convert such shares terminates; and</w:t>
            </w:r>
          </w:p>
        </w:tc>
      </w:tr>
    </w:tbl>
    <w:p>
      <w:pPr>
        <w:pStyle w:val="TextBody"/>
        <w:bidi w:val="0"/>
        <w:spacing w:before="0" w:after="0"/>
        <w:ind w:left="3605" w:right="0" w:hanging="718"/>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for Holders of shares in certificated form, that the Holder is to surrender to the Corporation, in the manner and at the place designated, his, her or its certificate or certificates representing the shares of Preferred Stock to be redeemed.</w:t>
            </w:r>
          </w:p>
        </w:tc>
      </w:tr>
    </w:tbl>
    <w:p>
      <w:pPr>
        <w:pStyle w:val="TextBody"/>
        <w:bidi w:val="0"/>
        <w:spacing w:before="0" w:after="0"/>
        <w:ind w:left="2162" w:right="0" w:firstLine="723"/>
        <w:jc w:val="both"/>
        <w:rPr>
          <w:caps w:val="false"/>
          <w:smallCaps w:val="false"/>
        </w:rPr>
      </w:pPr>
      <w:r>
        <w:rPr>
          <w:caps w:val="false"/>
          <w:smallCaps w:val="false"/>
        </w:rPr>
        <w:t> </w:t>
      </w:r>
    </w:p>
    <w:p>
      <w:pPr>
        <w:pStyle w:val="TextBody"/>
        <w:bidi w:val="0"/>
        <w:spacing w:before="0" w:after="0"/>
        <w:ind w:left="2162"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the Redemption Date, the Corporation shall redeem the Preferred Stock owned by such Holder. If on the Redemption Date Delaware law governing distributions to stockholders prevents the Corporation from redeeming all shares of Preferred Stock to be redeemed, the Corporation shall ratably redeem the maximum number of shares that it may redeem consistent with such law, and shall redeem the remaining shares as soon as it may lawfully do so under such law. In the event that any portion of the Redemption Price has not been paid within 5 Business Days following the Redemption Date, interest on such unpaid portion of the Redemption Price shall accrue thereon until such amount is paid in full at a rate equal to the lesser of (i) 24.0% per annum and (ii) the maximum rate permitted under applicable law.</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Rights Subsequent to Redemption.</w:t>
      </w:r>
      <w:r>
        <w:rPr>
          <w:rFonts w:ascii="Times New Roman;Times;Serif" w:hAnsi="Times New Roman;Times;Serif"/>
          <w:b w:val="false"/>
          <w:i w:val="false"/>
          <w:caps w:val="false"/>
          <w:smallCaps w:val="false"/>
          <w:sz w:val="20"/>
        </w:rPr>
        <w:t xml:space="preserve"> Upon the redemption of shares of Preferred Stock pursuant to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xml:space="preserve">, all rights with respect to such shares of Preferred Stock shall immediately terminate, except with respect to the right of the Holders to receive the applicable redemption price with respect to such shares of Preferred Stock in accordance with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as applicable.</w:t>
      </w:r>
    </w:p>
    <w:p>
      <w:pPr>
        <w:pStyle w:val="TextBody"/>
        <w:bidi w:val="0"/>
        <w:spacing w:before="0" w:after="0"/>
        <w:ind w:left="2166" w:right="0" w:hanging="0"/>
        <w:jc w:val="left"/>
        <w:rPr>
          <w:caps w:val="false"/>
          <w:smallCaps w:val="false"/>
        </w:rPr>
      </w:pPr>
      <w:r>
        <w:rPr>
          <w:caps w:val="false"/>
          <w:smallCaps w:val="false"/>
        </w:rPr>
        <w:t> </w:t>
      </w:r>
    </w:p>
    <w:p>
      <w:pPr>
        <w:pStyle w:val="TextBody"/>
        <w:bidi w:val="0"/>
        <w:spacing w:before="0" w:after="0"/>
        <w:ind w:left="216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2166" w:right="0" w:hanging="0"/>
        <w:jc w:val="left"/>
        <w:rPr>
          <w:caps w:val="false"/>
          <w:smallCaps w:val="false"/>
        </w:rPr>
      </w:pPr>
      <w:r>
        <w:rPr>
          <w:caps w:val="false"/>
          <w:smallCaps w:val="false"/>
        </w:rPr>
        <w:t> </w:t>
      </w:r>
    </w:p>
    <w:p>
      <w:pPr>
        <w:pStyle w:val="TextBody"/>
        <w:bidi w:val="0"/>
        <w:spacing w:before="0" w:after="0"/>
        <w:ind w:left="216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w:t>
        <w:tab/>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and all notices or other communications or deliveries to be provided by the Holders hereunder including, without limitation, any Notice of Conversion, shall be in writing and delivered personally, by e-mail, or sent by nationally recognized overnight courier service, addressed to the Corporation, at the address set forth above the address or email address most recently provided to Holders by the Corporation for purposes of notice hereunder Attention: Leslie Ravestein, e-mail address legal@merlinlabs.com, or such other e-mail address or address as the Corporation may specify for such purposes by notice to the Holders delivered in accordance with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Any and all notices or other communications or deliveries to be provided by the Corporation hereunder shall be in writing and delivered personally, by e-mail, or sent by a nationally recognized overnight courier service addressed to each Holder at the e-mail address or address of such Holder appearing on the books of the Corporation, or if no such facsimile number, e-mail address or address appears on the books of the Corporation, at the principal place of business of such Holder, as set forth in the Purchase Agreement. Any notice or other communication or deliveries hereunder shall be deemed given and effective on the earliest of (i) the time of transmission, if such notice or communication is delivered via facsimile at the facsimile number or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1442" w:right="0" w:firstLine="721"/>
        <w:jc w:val="both"/>
        <w:rPr>
          <w:caps w:val="false"/>
          <w:smallCaps w:val="false"/>
        </w:rPr>
      </w:pPr>
      <w:r>
        <w:rPr>
          <w:caps w:val="false"/>
          <w:smallCaps w:val="false"/>
        </w:rPr>
        <w:t> </w:t>
      </w:r>
    </w:p>
    <w:p>
      <w:pPr>
        <w:pStyle w:val="TextBody"/>
        <w:bidi w:val="0"/>
        <w:spacing w:before="0" w:after="0"/>
        <w:ind w:left="1442"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Absolute Obligation.</w:t>
      </w:r>
      <w:r>
        <w:rPr>
          <w:rFonts w:ascii="Times New Roman;Times;Serif" w:hAnsi="Times New Roman;Times;Serif"/>
          <w:b w:val="false"/>
          <w:i w:val="false"/>
          <w:caps w:val="false"/>
          <w:smallCaps w:val="false"/>
          <w:sz w:val="20"/>
        </w:rPr>
        <w:t xml:space="preserve"> Except as expressly provided herein, no provision of this Certificate of Designation shall alter or impair the obligation of the Corporation, which is absolute and unconditional, to pay liquidated damages and accrued dividends, as applicable, on the shares of Preferred Stock at the time, place, and rate, and in the coin or currency, herein prescribed.</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Lost or Mutilated Preferred Stock Certificate.</w:t>
      </w:r>
      <w:r>
        <w:rPr>
          <w:rFonts w:ascii="Times New Roman;Times;Serif" w:hAnsi="Times New Roman;Times;Serif"/>
          <w:b w:val="false"/>
          <w:i w:val="false"/>
          <w:caps w:val="false"/>
          <w:smallCaps w:val="false"/>
          <w:sz w:val="20"/>
        </w:rPr>
        <w:t xml:space="preserve"> If a Holder’s Preferred Stock certificate shall be mutilated, lost, stolen or destroyed, the Corporation shall issue or cause to be issued,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 (which shall not include the posting of any bond). The applicant for a new certificate under such circumstances shall also pay any reasonable third-party costs (including customary indemnity) associated with the issuance of such replacement certificate.</w:t>
      </w:r>
    </w:p>
    <w:p>
      <w:pPr>
        <w:pStyle w:val="TextBody"/>
        <w:bidi w:val="0"/>
        <w:spacing w:before="0" w:after="0"/>
        <w:ind w:left="1440" w:right="0" w:firstLine="723"/>
        <w:jc w:val="left"/>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All questions concerning the construction, validity, enforcement and interpretation of this Certificate of Designation shall be governed by and construed and enforced in accordance with the internal laws of the State of Delaware, without regard to the principles of conflict of laws thereof. All legal proceedings concerning the interpretation, enforcement and defense of the transactions contemplated by this Certificate of Designation (whether brought against a party hereto or its respective Affiliates, directors, officers, shareholders, employees or agents) shall be commenced in the state and federal courts sitting in the City of Wilmington, Delaware, County of New Castle (the “</w:t>
      </w:r>
      <w:r>
        <w:rPr>
          <w:rFonts w:ascii="Times New Roman;Times;Serif" w:hAnsi="Times New Roman;Times;Serif"/>
          <w:b/>
          <w:i w:val="false"/>
          <w:caps w:val="false"/>
          <w:smallCaps w:val="false"/>
          <w:sz w:val="20"/>
        </w:rPr>
        <w:t>Delaware Courts”).</w:t>
      </w:r>
      <w:r>
        <w:rPr>
          <w:rFonts w:ascii="Times New Roman;Times;Serif" w:hAnsi="Times New Roman;Times;Serif"/>
          <w:b w:val="false"/>
          <w:i w:val="false"/>
          <w:caps w:val="false"/>
          <w:smallCaps w:val="false"/>
          <w:sz w:val="20"/>
        </w:rPr>
        <w:t xml:space="preserve"> The Corporation and each Holder hereby irrevocably submits to the exclusive jurisdiction of the Delaware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Delaware Courts, or such Delaware Courts are improper or inconvenient venue for such proceeding. The Corporation and each Holder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The Corporation and each Holder hereby irrevocably waives, to the fullest extent permitted by applicable law, any and all right to trial by jury in any legal proceeding arising out of or relating to this Certificate of Designation or the transactions contemplated hereby. If the Corporation or any Holder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4(c),</w:t>
      </w:r>
      <w:r>
        <w:rPr>
          <w:rFonts w:ascii="Times New Roman;Times;Serif" w:hAnsi="Times New Roman;Times;Serif"/>
          <w:b w:val="false"/>
          <w:i w:val="false"/>
          <w:caps w:val="false"/>
          <w:smallCaps w:val="false"/>
          <w:sz w:val="20"/>
        </w:rPr>
        <w:t xml:space="preserve"> this Certificate of Designation (or any provision hereof) may be amended by obtaining the affirmative vote at a meeting duly called for such purpose, or written consent without a meeting in accordance with the Delaware General Corporation Law, of the Required Holders, voting separately as a single class, and with such other stockholder approval, if any, as may then be required pursuant to the DGCL and the Corporation’s certificate of incorporation; provided, however, and notwithstanding anything in this Certificate of Designation to the contrary, no provision of this Certificate of Designation shall be amended to the extent any such amendment would (i) disproportionately, materially and adversely modify any rights of any Holder (as compared to the rights of the other Holders) (ii) impose any additional financial obligations or liabilities on a Holder or (iii) amend the provisions of Section 3, Section 6, Section 7, Section 8(b) or this Section 9(e), unless such amendment applies to all Holders in the same fashion, and, in each case, unless any such Holder shall have previously consented in writing to such amendment or voted to approve such amendment at a meeting. No consideration shall be offered or paid to any Holder to amend or consent to a waiver or modification of any provision of this Certificate of Designation unless the same consideration is also offered to all of the Holders. For clarification purposes, this provision constitutes a separate right granted to each Holder by the Corporation and negotiated separately by each Holder, and is intended for the Corporation to treat the Holders as a group and shall not in any way be construed as the Holders acting in concert or as a group with respect to the purchase, disposition or voting of securities or otherwise.</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xml:space="preserve">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2"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Next Business Day.</w:t>
      </w:r>
      <w:r>
        <w:rPr>
          <w:rFonts w:ascii="Times New Roman;Times;Serif" w:hAnsi="Times New Roman;Times;Serif"/>
          <w:b w:val="false"/>
          <w:i w:val="false"/>
          <w:caps w:val="false"/>
          <w:smallCaps w:val="false"/>
          <w:sz w:val="20"/>
        </w:rPr>
        <w:t xml:space="preserve"> Whenever any payment or other obligation hereunder shall be due on a day other than a Business Day, such payment shall be made on the next succeeding Business Day.</w:t>
      </w:r>
    </w:p>
    <w:p>
      <w:pPr>
        <w:pStyle w:val="TextBody"/>
        <w:bidi w:val="0"/>
        <w:spacing w:before="0" w:after="0"/>
        <w:ind w:left="1443" w:right="0" w:firstLine="720"/>
        <w:jc w:val="both"/>
        <w:rPr>
          <w:caps w:val="false"/>
          <w:smallCaps w:val="false"/>
        </w:rPr>
      </w:pPr>
      <w:r>
        <w:rPr>
          <w:caps w:val="false"/>
          <w:smallCaps w:val="false"/>
        </w:rPr>
        <w:t> </w:t>
      </w:r>
    </w:p>
    <w:p>
      <w:pPr>
        <w:pStyle w:val="TextBody"/>
        <w:bidi w:val="0"/>
        <w:spacing w:before="0" w:after="0"/>
        <w:ind w:left="1443"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xml:space="preserve"> The headings contained herein are for convenience only, do not constitute a part of this Certificate of Designation and shall not be deemed to limit or affect any of the provisions hereof.</w:t>
      </w:r>
    </w:p>
    <w:p>
      <w:pPr>
        <w:pStyle w:val="TextBody"/>
        <w:bidi w:val="0"/>
        <w:spacing w:before="0" w:after="0"/>
        <w:ind w:left="1443" w:right="0" w:firstLine="722"/>
        <w:jc w:val="both"/>
        <w:rPr>
          <w:caps w:val="false"/>
          <w:smallCaps w:val="false"/>
        </w:rPr>
      </w:pPr>
      <w:r>
        <w:rPr>
          <w:caps w:val="false"/>
          <w:smallCaps w:val="false"/>
        </w:rPr>
        <w:t> </w:t>
      </w:r>
    </w:p>
    <w:p>
      <w:pPr>
        <w:pStyle w:val="TextBody"/>
        <w:bidi w:val="0"/>
        <w:spacing w:before="0" w:after="0"/>
        <w:ind w:left="1443" w:right="0" w:firstLine="7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Status of Converted or Redeemed Preferred Stock</w:t>
      </w:r>
      <w:r>
        <w:rPr>
          <w:rFonts w:ascii="Times New Roman;Times;Serif" w:hAnsi="Times New Roman;Times;Serif"/>
          <w:b w:val="false"/>
          <w:i w:val="false"/>
          <w:caps w:val="false"/>
          <w:smallCaps w:val="false"/>
          <w:sz w:val="20"/>
        </w:rPr>
        <w:t>. Shares of Preferred Stock may only be issued pursuant to the Purchase Agreement. If any shares of Preferred Stock shall be converted, redeemed or reacquired by the Corporation, such shares shall resume the status of authorized but unissued shares of preferred stock and shall no longer be designated as 12.0% Series A Cumulative Convertible Preferred Stock.</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xml:space="preserve"> The Corporation agrees that, provided that each Holder delivers to the Corporation a properly executed IRS Form W-9 or other certification satisfactory to the Corporation certifying as to such Holder’s status (or the status of such Holder’s beneficial owner(s)) as a United States person (within the meaning of Section 7701(a)(30) of the Code) and such Holder’s (or such beneficial owners’) eligibility for complete exemption from backup withholding </w:t>
      </w:r>
      <w:r>
        <w:rPr>
          <w:rFonts w:ascii="Times New Roman;Times;Serif" w:hAnsi="Times New Roman;Times;Serif"/>
          <w:b w:val="false"/>
          <w:i w:val="false"/>
          <w:caps w:val="false"/>
          <w:smallCaps w:val="false"/>
          <w:sz w:val="20"/>
          <w:u w:val="single"/>
        </w:rPr>
        <w:t>(“U.S. Person Certification”)</w:t>
      </w:r>
      <w:r>
        <w:rPr>
          <w:rFonts w:ascii="Times New Roman;Times;Serif" w:hAnsi="Times New Roman;Times;Serif"/>
          <w:b w:val="false"/>
          <w:i w:val="false"/>
          <w:caps w:val="false"/>
          <w:smallCaps w:val="false"/>
          <w:sz w:val="20"/>
        </w:rPr>
        <w:t>, under current law the Corporation (including any paying agent of the Corporation) shall not be required to, and shall not, withhold on any payments or deemed payments to any such Holder. In the event that any Holder fails to deliver to the Corporation such properly executed U.S. Person Certification, the Corporation reasonably believes that a previously delivered U.S. Person Certification is no longer accurate and/or valid, or there is a change in law that affects the withholding obligations of the Corporation, the Corporation and its paying agent shall be entitled to withhold taxes on all payments made to the relevant Holder in the form of cash or otherwise treated, in the Corporation’s reasonable discretion, as a dividend for U.S. federal tax purposes or to request that the relevant Holder promptly pay the Corporation in cash any amounts required to satisfy any withholding tax obligations, in each case, to the extent the Corporation or its paying agent determines in good faith it is required to deduct and withhold tax on payments to the relevant Holder under applicable law; provided, that the Corporation shall use commercially reasonable efforts to notify the relevant Holder of any required withholding tax reasonably in advance of the date of the relevant payment. In the event that the Corporation does not have sufficient cash with respect to any Holder from withholding on cash payments otherwise payable to such Holder and cash paid to the Corporation by such Holder to the Corporation pursuant to the immediately preceding sentence, the Corporation and its paying agent shall be entitled to withhold taxes on deemed payments, including distributions of additional Preferred Stock in lieu of cash and constructive distributions on the Preferred Stock to the extent required by law, and the Corporation and its paying agent shall be entitled to satisfy any required withholding tax on non-cash payments (including deemed payments) through a sale of a portion of the Preferred Stock received as a dividend or from cash dividends or sales proceeds subsequently paid or credited on the Preferred Stock.</w:t>
      </w:r>
    </w:p>
    <w:p>
      <w:pPr>
        <w:pStyle w:val="TextBody"/>
        <w:bidi w:val="0"/>
        <w:spacing w:before="0" w:after="0"/>
        <w:ind w:left="1440" w:right="0" w:firstLine="723"/>
        <w:jc w:val="both"/>
        <w:rPr>
          <w:caps w:val="false"/>
          <w:smallCaps w:val="false"/>
        </w:rPr>
      </w:pPr>
      <w:r>
        <w:rPr>
          <w:caps w:val="false"/>
          <w:smallCaps w:val="false"/>
        </w:rPr>
        <w:t> </w:t>
      </w:r>
    </w:p>
    <w:p>
      <w:pPr>
        <w:pStyle w:val="TextBody"/>
        <w:bidi w:val="0"/>
        <w:spacing w:before="0" w:after="0"/>
        <w:ind w:left="1440" w:right="0"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xml:space="preserve"> Absent a change in law, Internal Revenue Service practice or a contrary determination (as defined in Section 1313(a) of the Internal Revenue Code, as amended (the “</w:t>
      </w:r>
      <w:r>
        <w:rPr>
          <w:rFonts w:ascii="Times New Roman;Times;Serif" w:hAnsi="Times New Roman;Times;Serif"/>
          <w:b/>
          <w:i w:val="false"/>
          <w:caps w:val="false"/>
          <w:smallCaps w:val="false"/>
          <w:sz w:val="20"/>
        </w:rPr>
        <w:t xml:space="preserve">Code”)), </w:t>
      </w:r>
      <w:r>
        <w:rPr>
          <w:rFonts w:ascii="Times New Roman;Times;Serif" w:hAnsi="Times New Roman;Times;Serif"/>
          <w:b w:val="false"/>
          <w:i w:val="false"/>
          <w:caps w:val="false"/>
          <w:smallCaps w:val="false"/>
          <w:sz w:val="20"/>
        </w:rPr>
        <w:t>each holder of Preferred Stock and the Corporation shall not treat the Preferred Stock (based on their terms as set forth in this Certificate of Designation) as “preferred stock” within the meaning of Section 305 of the Code and Treasury Regulation Section 1.305-5 for United States federal income tax and withholding tax purposes and shall not take any position inconsistent with such treatment.</w:t>
      </w:r>
    </w:p>
    <w:p>
      <w:pPr>
        <w:pStyle w:val="TextBody"/>
        <w:bidi w:val="0"/>
        <w:spacing w:before="0" w:after="0"/>
        <w:ind w:left="395" w:right="0" w:hanging="0"/>
        <w:jc w:val="center"/>
        <w:rPr>
          <w:caps w:val="false"/>
          <w:smallCaps w:val="false"/>
        </w:rPr>
      </w:pPr>
      <w:r>
        <w:rPr>
          <w:caps w:val="false"/>
          <w:smallCaps w:val="false"/>
        </w:rPr>
        <w:t> </w:t>
      </w:r>
    </w:p>
    <w:p>
      <w:pPr>
        <w:pStyle w:val="TextBody"/>
        <w:bidi w:val="0"/>
        <w:spacing w:before="0" w:after="0"/>
        <w:ind w:left="395"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395" w:right="0" w:hanging="0"/>
        <w:jc w:val="center"/>
        <w:rPr>
          <w:caps w:val="false"/>
          <w:smallCaps w:val="false"/>
        </w:rPr>
      </w:pPr>
      <w:r>
        <w:rPr>
          <w:caps w:val="false"/>
          <w:smallCaps w:val="false"/>
        </w:rPr>
        <w:t> </w:t>
      </w:r>
    </w:p>
    <w:p>
      <w:pPr>
        <w:pStyle w:val="TextBody"/>
        <w:bidi w:val="0"/>
        <w:spacing w:before="0" w:after="0"/>
        <w:ind w:left="39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395" w:right="0" w:hanging="0"/>
        <w:jc w:val="center"/>
        <w:rPr>
          <w:caps w:val="false"/>
          <w:smallCaps w:val="false"/>
        </w:rPr>
      </w:pPr>
      <w:r>
        <w:rPr>
          <w:caps w:val="false"/>
          <w:smallCaps w:val="false"/>
        </w:rPr>
        <w:t> </w:t>
      </w:r>
    </w:p>
    <w:p>
      <w:pPr>
        <w:pStyle w:val="TextBody"/>
        <w:bidi w:val="0"/>
        <w:spacing w:before="0" w:after="0"/>
        <w:ind w:left="722" w:right="0" w:firstLine="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Certificate of Designation is executed on behalf of the Corporation by its Chief Executive Officer this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5409"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Merlin, Inc.</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Michael Blitzer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 xml:space="preserve">Michael Blitzer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4693"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57"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CONVERSION</w:t>
      </w:r>
    </w:p>
    <w:p>
      <w:pPr>
        <w:pStyle w:val="TextBody"/>
        <w:bidi w:val="0"/>
        <w:spacing w:before="0" w:after="0"/>
        <w:ind w:left="65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REGISTERED HOLDER IN ORDER TO CONVERT SHARES OF 12.0% SERIES A CUMULATIVE CONVERTIBLE PREFERRED STOCK)</w:t>
      </w:r>
    </w:p>
    <w:p>
      <w:pPr>
        <w:pStyle w:val="TextBody"/>
        <w:bidi w:val="0"/>
        <w:spacing w:before="0" w:after="0"/>
        <w:ind w:left="719" w:right="0" w:firstLine="3"/>
        <w:jc w:val="both"/>
        <w:rPr>
          <w:caps w:val="false"/>
          <w:smallCaps w:val="false"/>
        </w:rPr>
      </w:pPr>
      <w:r>
        <w:rPr>
          <w:caps w:val="false"/>
          <w:smallCaps w:val="false"/>
        </w:rPr>
        <w:t> </w:t>
      </w:r>
    </w:p>
    <w:p>
      <w:pPr>
        <w:pStyle w:val="TextBody"/>
        <w:bidi w:val="0"/>
        <w:spacing w:before="0" w:after="0"/>
        <w:ind w:left="719"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the number of shares of 12.0% Series A Cumulative Convertible Preferred Stock, par value $0.0001 per share (the “</w:t>
      </w:r>
      <w:r>
        <w:rPr>
          <w:rFonts w:ascii="Times New Roman;Times;Serif" w:hAnsi="Times New Roman;Times;Serif"/>
          <w:b/>
          <w:i w:val="false"/>
          <w:caps w:val="false"/>
          <w:smallCaps w:val="false"/>
          <w:sz w:val="20"/>
        </w:rPr>
        <w:t xml:space="preserve">Preferred Stock”), </w:t>
      </w:r>
      <w:r>
        <w:rPr>
          <w:rFonts w:ascii="Times New Roman;Times;Serif" w:hAnsi="Times New Roman;Times;Serif"/>
          <w:b w:val="false"/>
          <w:i w:val="false"/>
          <w:caps w:val="false"/>
          <w:smallCaps w:val="false"/>
          <w:sz w:val="20"/>
        </w:rPr>
        <w:t>indicated below into shares of common stock, par value $0.0001 per share (the “</w:t>
      </w:r>
      <w:r>
        <w:rPr>
          <w:rFonts w:ascii="Times New Roman;Times;Serif" w:hAnsi="Times New Roman;Times;Serif"/>
          <w:b/>
          <w:i w:val="false"/>
          <w:caps w:val="false"/>
          <w:smallCaps w:val="false"/>
          <w:sz w:val="20"/>
        </w:rPr>
        <w:t xml:space="preserve">Common Stock”), </w:t>
      </w:r>
      <w:r>
        <w:rPr>
          <w:rFonts w:ascii="Times New Roman;Times;Serif" w:hAnsi="Times New Roman;Times;Serif"/>
          <w:b w:val="false"/>
          <w:i w:val="false"/>
          <w:caps w:val="false"/>
          <w:smallCaps w:val="false"/>
          <w:sz w:val="20"/>
        </w:rPr>
        <w:t>of Merlin, Inc., a Delaware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xml:space="preserve"> according to the conditions hereof, as of the date written below. If shares of Common Stock are to be issued in the name of a Person other than the undersigned, the undersigned will pay all transfer taxes payable with respect thereto and is delivering herewith such certificates and opinions as may be required by the Corporation in accordance with the Purchase Agreement. No fee will be charged to the Holders for any conversion, except for any such transfer taxes.</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calculations:</w:t>
      </w:r>
    </w:p>
    <w:p>
      <w:pPr>
        <w:pStyle w:val="TextBody"/>
        <w:bidi w:val="0"/>
        <w:spacing w:before="0" w:after="0"/>
        <w:ind w:left="1441" w:right="0" w:hanging="1"/>
        <w:jc w:val="left"/>
        <w:rPr>
          <w:caps w:val="false"/>
          <w:smallCaps w:val="false"/>
        </w:rPr>
      </w:pPr>
      <w:r>
        <w:rPr>
          <w:caps w:val="false"/>
          <w:smallCaps w:val="false"/>
        </w:rPr>
        <w:t> </w:t>
      </w:r>
    </w:p>
    <w:p>
      <w:pPr>
        <w:pStyle w:val="TextBody"/>
        <w:bidi w:val="0"/>
        <w:spacing w:before="0" w:after="0"/>
        <w:ind w:left="1441" w:right="0" w:hanging="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to Effect Conversion: </w:t>
      </w:r>
      <w:r>
        <w:rPr>
          <w:rFonts w:ascii="Times New Roman;Times;Serif" w:hAnsi="Times New Roman;Times;Serif"/>
          <w:b w:val="false"/>
          <w:i w:val="false"/>
          <w:caps w:val="false"/>
          <w:smallCaps w:val="false"/>
          <w:sz w:val="20"/>
          <w:u w:val="single"/>
        </w:rPr>
        <w:t>                                                                                                                          </w:t>
      </w:r>
    </w:p>
    <w:p>
      <w:pPr>
        <w:pStyle w:val="TextBody"/>
        <w:bidi w:val="0"/>
        <w:spacing w:before="0" w:after="0"/>
        <w:ind w:left="144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of shares of Preferred Stock owned prior to Conversion: </w:t>
      </w:r>
      <w:r>
        <w:rPr>
          <w:rFonts w:ascii="Times New Roman;Times;Serif" w:hAnsi="Times New Roman;Times;Serif"/>
          <w:b w:val="false"/>
          <w:i w:val="false"/>
          <w:caps w:val="false"/>
          <w:smallCaps w:val="false"/>
          <w:sz w:val="20"/>
          <w:u w:val="single"/>
        </w:rPr>
        <w:t>                                                          </w:t>
      </w:r>
    </w:p>
    <w:p>
      <w:pPr>
        <w:pStyle w:val="TextBody"/>
        <w:bidi w:val="0"/>
        <w:spacing w:before="0" w:after="0"/>
        <w:ind w:left="144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of shares of Preferred Stock to be Converted: </w:t>
      </w:r>
      <w:r>
        <w:rPr>
          <w:rFonts w:ascii="Times New Roman;Times;Serif" w:hAnsi="Times New Roman;Times;Serif"/>
          <w:b w:val="false"/>
          <w:i w:val="false"/>
          <w:caps w:val="false"/>
          <w:smallCaps w:val="false"/>
          <w:sz w:val="20"/>
          <w:u w:val="single"/>
        </w:rPr>
        <w:t>                                                                              </w:t>
      </w:r>
    </w:p>
    <w:p>
      <w:pPr>
        <w:pStyle w:val="TextBody"/>
        <w:bidi w:val="0"/>
        <w:spacing w:before="0" w:after="0"/>
        <w:ind w:left="144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Value of shares of Preferred Stock to be Converted:  </w:t>
      </w:r>
      <w:r>
        <w:rPr>
          <w:rFonts w:ascii="Times New Roman;Times;Serif" w:hAnsi="Times New Roman;Times;Serif"/>
          <w:b w:val="false"/>
          <w:i w:val="false"/>
          <w:caps w:val="false"/>
          <w:smallCaps w:val="false"/>
          <w:sz w:val="20"/>
          <w:u w:val="single"/>
        </w:rPr>
        <w:t>                                                                   </w:t>
      </w:r>
    </w:p>
    <w:p>
      <w:pPr>
        <w:pStyle w:val="TextBody"/>
        <w:bidi w:val="0"/>
        <w:spacing w:before="0" w:after="0"/>
        <w:ind w:left="144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to be Issued: </w:t>
      </w:r>
      <w:r>
        <w:rPr>
          <w:rFonts w:ascii="Times New Roman;Times;Serif" w:hAnsi="Times New Roman;Times;Serif"/>
          <w:b w:val="false"/>
          <w:i w:val="false"/>
          <w:caps w:val="false"/>
          <w:smallCaps w:val="false"/>
          <w:sz w:val="20"/>
          <w:u w:val="single"/>
        </w:rPr>
        <w:t>                                                                                   </w:t>
      </w:r>
    </w:p>
    <w:p>
      <w:pPr>
        <w:pStyle w:val="TextBody"/>
        <w:bidi w:val="0"/>
        <w:spacing w:before="0" w:after="0"/>
        <w:ind w:left="1441" w:right="0" w:firstLine="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Conversion Price: </w:t>
      </w:r>
      <w:r>
        <w:rPr>
          <w:rFonts w:ascii="Times New Roman;Times;Serif" w:hAnsi="Times New Roman;Times;Serif"/>
          <w:b w:val="false"/>
          <w:i w:val="false"/>
          <w:caps w:val="false"/>
          <w:smallCaps w:val="false"/>
          <w:sz w:val="20"/>
          <w:u w:val="single"/>
        </w:rPr>
        <w:t>                                                                                                                     </w:t>
      </w:r>
    </w:p>
    <w:p>
      <w:pPr>
        <w:pStyle w:val="TextBody"/>
        <w:bidi w:val="0"/>
        <w:spacing w:before="0" w:after="0"/>
        <w:ind w:left="1441" w:right="0" w:firstLine="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of shares of Preferred Stock subsequent to Conversion: </w:t>
      </w:r>
      <w:r>
        <w:rPr>
          <w:rFonts w:ascii="Times New Roman;Times;Serif" w:hAnsi="Times New Roman;Times;Serif"/>
          <w:b w:val="false"/>
          <w:i w:val="false"/>
          <w:caps w:val="false"/>
          <w:smallCaps w:val="false"/>
          <w:sz w:val="20"/>
          <w:u w:val="single"/>
        </w:rPr>
        <w:t>                                                               </w:t>
      </w:r>
    </w:p>
    <w:p>
      <w:pPr>
        <w:pStyle w:val="TextBody"/>
        <w:bidi w:val="0"/>
        <w:spacing w:before="0" w:after="0"/>
        <w:ind w:left="1441" w:right="0" w:firstLine="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for Delivery: </w:t>
      </w:r>
      <w:r>
        <w:rPr>
          <w:rFonts w:ascii="Times New Roman;Times;Serif" w:hAnsi="Times New Roman;Times;Serif"/>
          <w:b w:val="false"/>
          <w:i w:val="false"/>
          <w:caps w:val="false"/>
          <w:smallCaps w:val="false"/>
          <w:sz w:val="20"/>
          <w:u w:val="single"/>
        </w:rPr>
        <w:t>                                                                                                                               </w:t>
      </w:r>
    </w:p>
    <w:p>
      <w:pPr>
        <w:pStyle w:val="TextBody"/>
        <w:bidi w:val="0"/>
        <w:spacing w:before="0" w:after="0"/>
        <w:ind w:left="1441" w:right="0" w:firstLine="2"/>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DWAC Instructions: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 </w:t>
      </w:r>
      <w:r>
        <w:rPr>
          <w:rFonts w:ascii="Times New Roman;Times;Serif" w:hAnsi="Times New Roman;Times;Serif"/>
          <w:b w:val="false"/>
          <w:i w:val="false"/>
          <w:caps w:val="false"/>
          <w:smallCaps w:val="false"/>
          <w:sz w:val="20"/>
          <w:u w:val="singl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no: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tbl>
      <w:tblPr>
        <w:tblW w:w="1264" w:type="dxa"/>
        <w:jc w:val="left"/>
        <w:tblInd w:w="0" w:type="dxa"/>
        <w:tblLayout w:type="fixed"/>
        <w:tblCellMar>
          <w:top w:w="0" w:type="dxa"/>
          <w:left w:w="0" w:type="dxa"/>
          <w:bottom w:w="0" w:type="dxa"/>
          <w:right w:w="0" w:type="dxa"/>
        </w:tblCellMar>
      </w:tblPr>
      <w:tblGrid>
        <w:gridCol w:w="75"/>
        <w:gridCol w:w="398"/>
        <w:gridCol w:w="791"/>
      </w:tblGrid>
      <w:tr>
        <w:trPr/>
        <w:tc>
          <w:tcPr>
            <w:tcW w:w="75"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left"/>
              <w:rPr/>
            </w:pPr>
            <w:r>
              <w:rPr/>
              <w:t>[HOLDER]</w:t>
            </w:r>
          </w:p>
        </w:tc>
      </w:tr>
      <w:tr>
        <w:trPr/>
        <w:tc>
          <w:tcPr>
            <w:tcW w:w="75"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By:</w:t>
            </w:r>
          </w:p>
        </w:tc>
        <w:tc>
          <w:tcPr>
            <w:tcW w:w="79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jc w:val="left"/>
        <w:rPr>
          <w:bdr w:val="single" w:sz="12" w:space="1" w:color="000000"/>
        </w:rPr>
      </w:pPr>
      <w:r>
        <w:rPr>
          <w:bdr w:val="single" w:sz="12" w:space="1" w:color="000000"/>
        </w:rPr>
        <w:t> </w:t>
      </w:r>
    </w:p>
    <w:p>
      <w:pPr>
        <w:pStyle w:val="TextBody"/>
        <w:bidi w:val="0"/>
        <w:jc w:val="right"/>
        <w:rPr>
          <w:rFonts w:ascii="Times New Roman;Times;Serif" w:hAnsi="Times New Roman;Times;Serif"/>
          <w:b/>
          <w:i w:val="false"/>
          <w:caps w:val="false"/>
          <w:smallCaps w:val="false"/>
          <w:sz w:val="20"/>
        </w:rPr>
      </w:pPr>
      <w:bookmarkStart w:id="42" w:name="ea028257401ex4-2.htm"/>
      <w:bookmarkStart w:id="43" w:name="ksea028257401ex42"/>
      <w:bookmarkEnd w:id="42"/>
      <w:bookmarkEnd w:id="43"/>
      <w:r>
        <w:rPr>
          <w:rFonts w:ascii="Times New Roman;Times;Serif" w:hAnsi="Times New Roman;Times;Serif"/>
          <w:b/>
          <w:i w:val="false"/>
          <w:caps w:val="false"/>
          <w:smallCaps w:val="false"/>
          <w:sz w:val="20"/>
        </w:rPr>
        <w:t>Exhibit 4.2</w:t>
      </w:r>
      <w:r>
        <w:br w:type="page"/>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See Legends on Reverse</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Incorporated Under the Laws of the State of Delaware</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1460"/>
        <w:gridCol w:w="1970"/>
      </w:tblGrid>
      <w:tr>
        <w:trPr/>
        <w:tc>
          <w:tcPr>
            <w:tcW w:w="146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PA-[___]</w:t>
            </w:r>
          </w:p>
        </w:tc>
        <w:tc>
          <w:tcPr>
            <w:tcW w:w="197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Shares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w:t>
      </w:r>
    </w:p>
    <w:p>
      <w:pPr>
        <w:pStyle w:val="TextBody"/>
        <w:bidi w:val="0"/>
        <w:spacing w:before="0" w:after="0"/>
        <w:ind w:left="360" w:right="36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IS TO CERTIFY THAT </w:t>
      </w:r>
      <w:r>
        <w:rPr>
          <w:rFonts w:ascii="Times New Roman;Times;Serif" w:hAnsi="Times New Roman;Times;Serif"/>
          <w:b/>
          <w:i w:val="false"/>
          <w:caps/>
          <w:sz w:val="20"/>
        </w:rPr>
        <w:t>[</w:t>
      </w:r>
      <w:r>
        <w:rPr>
          <w:rFonts w:ascii="Times New Roman;Times;Serif" w:hAnsi="Times New Roman;Times;Serif"/>
          <w:b/>
          <w:i w:val="false"/>
          <w:caps/>
          <w:sz w:val="20"/>
          <w:u w:val="single"/>
        </w:rPr>
        <w:t>___</w:t>
      </w:r>
      <w:r>
        <w:rPr>
          <w:rFonts w:ascii="Times New Roman;Times;Serif" w:hAnsi="Times New Roman;Times;Serif"/>
          <w:b/>
          <w:i w:val="false"/>
          <w:caps/>
          <w:sz w:val="20"/>
        </w:rPr>
        <w:t>]</w:t>
      </w:r>
      <w:r>
        <w:rPr>
          <w:rFonts w:ascii="Times New Roman;Times;Serif" w:hAnsi="Times New Roman;Times;Serif"/>
          <w:b w:val="false"/>
          <w:i w:val="false"/>
          <w:caps w:val="false"/>
          <w:smallCaps w:val="false"/>
          <w:sz w:val="20"/>
        </w:rPr>
        <w:t xml:space="preserve"> is the owner of </w:t>
      </w:r>
      <w:r>
        <w:rPr>
          <w:rFonts w:ascii="Times New Roman;Times;Serif" w:hAnsi="Times New Roman;Times;Serif"/>
          <w:b/>
          <w:i w:val="false"/>
          <w:caps/>
          <w:sz w:val="20"/>
        </w:rPr>
        <w:t>[</w:t>
      </w:r>
      <w:r>
        <w:rPr>
          <w:rFonts w:ascii="Times New Roman;Times;Serif" w:hAnsi="Times New Roman;Times;Serif"/>
          <w:b/>
          <w:i w:val="false"/>
          <w:caps/>
          <w:sz w:val="20"/>
          <w:u w:val="single"/>
        </w:rPr>
        <w:t>___</w:t>
      </w:r>
      <w:r>
        <w:rPr>
          <w:rFonts w:ascii="Times New Roman;Times;Serif" w:hAnsi="Times New Roman;Times;Serif"/>
          <w:b/>
          <w:i w:val="false"/>
          <w:caps/>
          <w:sz w:val="20"/>
        </w:rPr>
        <w:t>]</w:t>
      </w:r>
      <w:r>
        <w:rPr>
          <w:rFonts w:ascii="Times New Roman;Times;Serif" w:hAnsi="Times New Roman;Times;Serif"/>
          <w:b w:val="false"/>
          <w:i w:val="false"/>
          <w:caps w:val="false"/>
          <w:smallCaps w:val="false"/>
          <w:sz w:val="20"/>
        </w:rPr>
        <w:t xml:space="preserve"> shares of the SERIES A PREFERRED STOCK of</w:t>
      </w:r>
    </w:p>
    <w:p>
      <w:pPr>
        <w:pStyle w:val="TextBody"/>
        <w:bidi w:val="0"/>
        <w:spacing w:before="0" w:after="0"/>
        <w:ind w:left="360" w:right="36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transferable only on the books of the Corporation by the holder hereof, in person or by attorney, upon surrender of this Certificate properly endorsed.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and the shares represented hereby are issued and shall be subject to all of the provisions of the Certificate of Incorporation and the Bylaws of said Corporation and any amendments thereto, to all of which the holder of this Certificate, by acceptance hereof, assents.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by this Certificate are convertible into shares of Common Stock at the election of the holder thereof and shall be so converted upon the occurrence of certain events as set forth in the Certificate of Incorporation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said Corporation has caused this certificate to be signed by its duly authorized officers this [ ● ]</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 ● ], 20[ ● ].</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28" w:type="dxa"/>
          <w:right w:w="0" w:type="dxa"/>
        </w:tblCellMar>
      </w:tblPr>
      <w:tblGrid>
        <w:gridCol w:w="2135"/>
        <w:gridCol w:w="60"/>
        <w:gridCol w:w="3485"/>
      </w:tblGrid>
      <w:tr>
        <w:trPr/>
        <w:tc>
          <w:tcPr>
            <w:tcW w:w="213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85" w:type="dxa"/>
            <w:tcBorders>
              <w:bottom w:val="single" w:sz="12" w:space="0" w:color="000000"/>
            </w:tcBorders>
            <w:vAlign w:val="center"/>
          </w:tcPr>
          <w:p>
            <w:pPr>
              <w:pStyle w:val="TableContents"/>
              <w:bidi w:val="0"/>
              <w:spacing w:before="0" w:after="283"/>
              <w:jc w:val="left"/>
              <w:rPr/>
            </w:pPr>
            <w:r>
              <w:rPr/>
              <w:t> </w:t>
            </w:r>
          </w:p>
        </w:tc>
      </w:tr>
      <w:tr>
        <w:trPr/>
        <w:tc>
          <w:tcPr>
            <w:tcW w:w="2135" w:type="dxa"/>
            <w:tcBorders/>
            <w:tcMar>
              <w:bottom w:w="0" w:type="dxa"/>
            </w:tcMar>
            <w:vAlign w:val="center"/>
          </w:tcPr>
          <w:p>
            <w:pPr>
              <w:pStyle w:val="TableContents"/>
              <w:bidi w:val="0"/>
              <w:spacing w:before="0" w:after="283"/>
              <w:jc w:val="left"/>
              <w:rPr/>
            </w:pPr>
            <w:r>
              <w:rPr/>
              <w:t>Secretary or Treasurer</w:t>
            </w:r>
          </w:p>
        </w:tc>
        <w:tc>
          <w:tcPr>
            <w:tcW w:w="60" w:type="dxa"/>
            <w:tcBorders/>
            <w:tcMar>
              <w:bottom w:w="0" w:type="dxa"/>
            </w:tcMar>
            <w:vAlign w:val="center"/>
          </w:tcPr>
          <w:p>
            <w:pPr>
              <w:pStyle w:val="TableContents"/>
              <w:bidi w:val="0"/>
              <w:spacing w:before="0" w:after="283"/>
              <w:jc w:val="left"/>
              <w:rPr/>
            </w:pPr>
            <w:r>
              <w:rPr/>
              <w:t> </w:t>
            </w:r>
          </w:p>
        </w:tc>
        <w:tc>
          <w:tcPr>
            <w:tcW w:w="3485" w:type="dxa"/>
            <w:tcBorders/>
            <w:tcMar>
              <w:bottom w:w="0" w:type="dxa"/>
            </w:tcMar>
            <w:vAlign w:val="center"/>
          </w:tcPr>
          <w:p>
            <w:pPr>
              <w:pStyle w:val="TableContents"/>
              <w:bidi w:val="0"/>
              <w:spacing w:before="0" w:after="283"/>
              <w:jc w:val="left"/>
              <w:rPr/>
            </w:pPr>
            <w:r>
              <w:rPr/>
              <w:t>President or Chief Executive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ea028257401ex10-1.htm"/>
      <w:bookmarkStart w:id="45" w:name="ksea028257401ex101"/>
      <w:bookmarkEnd w:id="44"/>
      <w:bookmarkEnd w:id="45"/>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INDEMNIFICATION And Advancement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Indemnification and Advancement Agreement (“Agreement”) is made as of ________ __, 20__ by and between Merlin, Inc., a Delaware corporation (the “Company”), and ______________, [a member of the Board of Directors][and][an officer] of the Company (“Indemnitee”). This Agreement supersedes and replaces any and all previous Agreements between the Company and Indemnitee covering indemnification and advancement of expenses.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“Board”)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Company’s Bylaws and Certificate of Incorporation require indemnification of the officers and directors of the Company. Indemnitee may also be entitled to indemnification pursuant to the General Corporation Law of the State of Delaware (the “DGCL”). The Bylaws, the Certificate of Incorporation, and the DGCL expressly provide that the indemnification provisions set forth therein are not exclusive, and thereby contemplate that contracts may be entered into between the Company and its directors, officers, and other persons with respect to indemnification and advancement of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uncertainties relating to such insurance, to indemnification, and to advancement of expenses may increase the difficulty of attracting and retaining such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Agreement is a supplement to, and in furtherance of, the Bylaws, the Certificate of Incorporation and any resolutions adopted pursuant thereto, as well as any rights of Indemnitee under any directors’ and officers’ liability insurance policy, and is not a substitute therefor, and does not diminish or abrogate any rights of Indemnitee thereunder;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Indemnitee does not regard the protection available under the Bylaws, the Certificate of Incorporation, and available insurance as adequate in the present circumstances, and may not be willing to serve or continue to serve as a director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covenants contained herein, the Company and Indemnitee do hereby covenant and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Services to the Company.</w:t>
      </w:r>
      <w:r>
        <w:rPr>
          <w:rFonts w:ascii="Times New Roman;Times;Serif" w:hAnsi="Times New Roman;Times;Serif"/>
          <w:b w:val="false"/>
          <w:i w:val="false"/>
          <w:caps w:val="false"/>
          <w:smallCaps w:val="false"/>
          <w:sz w:val="20"/>
        </w:rPr>
        <w:t xml:space="preserve"> Indemnitee agrees to serve as a director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As used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“Agent” means any person who is authorized by the Company or an Enterprise to act for or represent the interests of the Company or an Enterprise,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“Change in Control” occurs upon the earliest to occur after the date of this Agreement of any of the following events: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Acquisition of Stock by Third Party. Any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of this Agreement)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Liquidation. The approval by the stockholders of the Company of a complete liquidation of the Company or an agreement for the sale or disposition by the Company of all or substantially all of the Company’s assets;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For purposes of this Section 2(b), the following terms have the following meanings:</w:t>
      </w:r>
    </w:p>
    <w:p>
      <w:pPr>
        <w:pStyle w:val="TextBody"/>
        <w:bidi w:val="0"/>
        <w:spacing w:before="0" w:after="0"/>
        <w:ind w:left="360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w:t>
            </w:r>
            <w:r>
              <w:rPr/>
              <w:t>Person” has the meaning as set forth in Sections 13(d) and 14(d) of the Exchange Act; provided, however, that Person excludes (i) the Company, (ii) any trustee or other fiduciary holding securities under an employee benefit plan of the Company, and (iii) any entity owned, directly or indirectly, by the stockholders of the Company in substantially the same proportions as their ownership of stock of the Company.</w:t>
            </w:r>
          </w:p>
        </w:tc>
      </w:tr>
    </w:tbl>
    <w:p>
      <w:pPr>
        <w:pStyle w:val="TextBody"/>
        <w:bidi w:val="0"/>
        <w:spacing w:before="0" w:after="0"/>
        <w:ind w:left="360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w:t>
            </w:r>
            <w:r>
              <w:rPr/>
              <w:t>Beneficial Owner” has the meaning given to such term in Rule 13d-3 under the Exchange Act; provided, however, that Beneficial Owner excludes any Person otherwise becoming a Beneficial Owner by reason of the stockholders of the Company approving a merger of the Company with another entity.</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“Corporate Status” describes the status of a person who is or was acting as a director, officer, employee, or Agent of the Company or an Enterprise.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“Disinterested Director” means a director of the Company who is not and was not a party to the Proceeding in respect of which indemnification is sought by Indemnitee.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“Enterprise” means any other corporation, limited liability company, partnership, joint venture, trust, employee benefit plan or other entity for which Indemnitee is or was serving at the request of the Company as a director, officer, employee, or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“Exchange Act” means the Securities Exchange Act of 1934, as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“Expenses” includes all reasonable attorneys’ fees, retainers, court costs, transcript costs, fees and other costs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excise taxes and penalties under the Employee Retirement Income Security Act of 1974, as amended, and all other disbursements, obligations, or expenses of the types customarily incurred in connection with preparing for or participating in a Proceeding. Expenses also include (i) Expenses incurred in connection with any appeal resulting from any Proceeding, including without limitation the premium, security for, and other costs relating to any cost bond, supersedeas bond, or other appeal bond or its equivalent, and (ii) for purposes of Section 14(d) of this Agreement only, Expenses incurred by Indemnitee in connection with the interpretation, enforcement or defense of Indemnitee’s rights under this Agreement, by litigation or otherwise. Expenses, however, do not include amounts paid in settlement by Indemnitee or the amount of judgments or fines against Indemnitee.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“Independent Counsel” means a law firm, or a member of a law firm, that is experienced in matters of corporation law and neither presently is, nor in the five years prior to its selection or appointment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“Proceeding”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regulatory,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Indemnity in Third-Party Proceedings.</w:t>
      </w:r>
      <w:r>
        <w:rPr>
          <w:rFonts w:ascii="Times New Roman;Times;Serif" w:hAnsi="Times New Roman;Times;Serif"/>
          <w:b w:val="false"/>
          <w:i w:val="false"/>
          <w:caps w:val="false"/>
          <w:smallCaps w:val="false"/>
          <w:sz w:val="20"/>
        </w:rPr>
        <w:t xml:space="preserve"> The Company will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Indemnity in Proceedings by or in the Right of the Company.</w:t>
      </w:r>
      <w:r>
        <w:rPr>
          <w:rFonts w:ascii="Times New Roman;Times;Serif" w:hAnsi="Times New Roman;Times;Serif"/>
          <w:b w:val="false"/>
          <w:i w:val="false"/>
          <w:caps w:val="false"/>
          <w:smallCaps w:val="false"/>
          <w:sz w:val="20"/>
        </w:rPr>
        <w:t xml:space="preserve"> The Company will indemnify Indemnitee in accordance with the provisions of this Section 4 if Indemnitee is, or is threatened to be made, a party to or a participant in any Proceeding by or in the right of the Company to procure a judgment in its favor. Pursuant to this Section 4,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4 related to any claim, issue, or matter in a Proceeding for which Indemnitee has been finally adjudged by a court to be liable to the Company, unless, and only to the extent that, the Court of Chancery of the state of Delaware (the “Delaware Court”) or any court in which the Proceeding was brought determines upon application by Indemnitee that, despite the adjudication of liability but in view of all the circumstances of the case, Indemnitee is fairly and reasonably entitled to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Indemnification for Expenses of a Party Who is Wholly or Partly Successful.</w:t>
      </w:r>
      <w:r>
        <w:rPr>
          <w:rFonts w:ascii="Times New Roman;Times;Serif" w:hAnsi="Times New Roman;Times;Serif"/>
          <w:b w:val="false"/>
          <w:i w:val="false"/>
          <w:caps w:val="false"/>
          <w:smallCaps w:val="false"/>
          <w:sz w:val="20"/>
        </w:rPr>
        <w:t xml:space="preserve"> To the fullest extent permitted by applicable law, the Company will indemnify Indemnitee against all Expenses actually and reasonably incurred by Indemnitee in connection with any Proceeding to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 claim, issue or matter to the fullest extent permitted by law. For purposes of this Section 5 and without limitation, the termination of any claim, issue, or matter in such a Proceeding by dismissal, with or without prejudice, will be deemed to be a successful result as to such claim, issue, or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Indemnification for Expenses of a Witness.</w:t>
      </w:r>
      <w:r>
        <w:rPr>
          <w:rFonts w:ascii="Times New Roman;Times;Serif" w:hAnsi="Times New Roman;Times;Serif"/>
          <w:b w:val="false"/>
          <w:i w:val="false"/>
          <w:caps w:val="false"/>
          <w:smallCaps w:val="false"/>
          <w:sz w:val="20"/>
        </w:rPr>
        <w:t xml:space="preserve"> To the fullest extent permitted by applicable law,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 or provide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Partial Indemnification.</w:t>
      </w:r>
      <w:r>
        <w:rPr>
          <w:rFonts w:ascii="Times New Roman;Times;Serif" w:hAnsi="Times New Roman;Times;Serif"/>
          <w:b w:val="false"/>
          <w:i w:val="false"/>
          <w:caps w:val="false"/>
          <w:smallCaps w:val="false"/>
          <w:sz w:val="20"/>
        </w:rPr>
        <w:t xml:space="preserve">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Additional Indemnification.</w:t>
      </w:r>
      <w:r>
        <w:rPr>
          <w:rFonts w:ascii="Times New Roman;Times;Serif" w:hAnsi="Times New Roman;Times;Serif"/>
          <w:b w:val="false"/>
          <w:i w:val="false"/>
          <w:caps w:val="false"/>
          <w:smallCaps w:val="false"/>
          <w:sz w:val="20"/>
        </w:rPr>
        <w:t xml:space="preserve"> Notwithstanding any limitation in Sections 3, 4, or 5 of this Agreement, the Company will indemnify Indemnitee to the fullest extent permitted by applicable law (including but not limited to, the DGCL and any amendments to or replacements of the DGCL adopted after the date of this Agreement that expand the Company’s ability to indemnify its officers, directors, employees or Agents) if Indemnitee is a party to, or threatened to be made a party to, any Proceeding (including a Proceeding by or in the right of the Company to procure a judgment in its favor).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Exclusions.</w:t>
      </w:r>
      <w:r>
        <w:rPr>
          <w:rFonts w:ascii="Times New Roman;Times;Serif" w:hAnsi="Times New Roman;Times;Serif"/>
          <w:b w:val="false"/>
          <w:i w:val="false"/>
          <w:caps w:val="false"/>
          <w:smallCaps w:val="false"/>
          <w:sz w:val="20"/>
        </w:rPr>
        <w:t xml:space="preserve"> Notwithstanding any provision in this Agreement, the Company is not obligated under this Agreement to indemnify Indemnitee 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amount actually paid to or on behalf of Indemnitee under any insurance policy or other indemnity provision, except to the extent provided in Section 16(b) of this Agreement and except with respect to any excess beyond the amount paid under any insurance policy or other indemnity provision;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of profits made from the purchase and sale (or sale and purchase) by Indemnitee of securities of the Company within the meaning of Section 16(b) of the Exchange Act or similar provisions of state statutory law or common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Proceeding 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14 of this Agreement, (ii) the Board authorized the Proceeding (or any part of any Proceeding) prior to its initiation or (iii) the Company provides the indemnification, in its sole discretion, pursuant to the powers vested in the Company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Advances of Expenses.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advance, to the extent not prohibited by law, the Expenses incurred by Indemnitee in connection with: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Proceeding (or any part of any Proceeding) not initiated by Indemnitee;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Proceeding (or any part of any Proceeding) initiated by Indemnitee if</w:t>
      </w:r>
    </w:p>
    <w:p>
      <w:pPr>
        <w:pStyle w:val="TextBody"/>
        <w:bidi w:val="0"/>
        <w:spacing w:before="0" w:after="0"/>
        <w:ind w:left="2970" w:right="0" w:hanging="0"/>
        <w:jc w:val="both"/>
        <w:rPr>
          <w:caps w:val="false"/>
          <w:smallCaps w:val="false"/>
        </w:rPr>
      </w:pPr>
      <w:r>
        <w:rPr>
          <w:caps w:val="false"/>
          <w:smallCaps w:val="false"/>
        </w:rPr>
        <w:t> </w:t>
      </w:r>
    </w:p>
    <w:p>
      <w:pPr>
        <w:pStyle w:val="TextBody"/>
        <w:bidi w:val="0"/>
        <w:spacing w:before="0" w:after="0"/>
        <w:ind w:left="29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Proceeding or part of any Proceeding is to enforce Indemnitee’s rights to obtain indemnification or advancement of Expenses from the Company or Enterprise, including a proceeding initiated pursuant to Section 14 of this Agreement, or</w:t>
      </w:r>
    </w:p>
    <w:p>
      <w:pPr>
        <w:pStyle w:val="TextBody"/>
        <w:bidi w:val="0"/>
        <w:spacing w:before="0" w:after="0"/>
        <w:ind w:left="2970" w:right="0" w:hanging="0"/>
        <w:jc w:val="both"/>
        <w:rPr>
          <w:caps w:val="false"/>
          <w:smallCaps w:val="false"/>
        </w:rPr>
      </w:pPr>
      <w:r>
        <w:rPr>
          <w:caps w:val="false"/>
          <w:smallCaps w:val="false"/>
        </w:rPr>
        <w:t> </w:t>
      </w:r>
    </w:p>
    <w:p>
      <w:pPr>
        <w:pStyle w:val="TextBody"/>
        <w:bidi w:val="0"/>
        <w:spacing w:before="0" w:after="0"/>
        <w:ind w:left="29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Board authorized the Proceeding (or any part of any Proceeding) prior to its initiation.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advance the Expenses within thirty (30) days after the receipt by the Company of a statement or statements requesting such advances from time to time, whether prior to or after final disposition of any Proceeding eligible for advancement of expenses.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Advances will be unsecured and interest free. Indemnitee hereby undertakes to repay any amounts so advanced (without interest) to the extent that it is ultimately determined that Indemnitee is not entitled to be indemnified by the Company, thus Indemnitee qualifies for advances upon the execution of this Agreement and delivery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Procedure for Notification of Claim for Indemnification or Advancement.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or advancement, advise the Board in writing that Indemnitee has requested indemnification or advancement.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be entitled to participate in the Proceeding at its own expense.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Procedure Upon Application for Indemnification.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a Change of Control has occurred, the determination of Indemnitee’s entitlement to indemnification will be made: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by a majority vote of the Disinterested Directors, even though less than a quorum of the Board;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by a committee of Disinterested Directors designated by a majority vote of the Disinterested Directors, even though less than a quorum of the Board;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there are no such Disinterested Directors or, if such Disinterested Directors so direct, by written opinion provided by Independent Counsel selected by the Board;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so directed by the Board, by the stockholders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Change in Control has occurred, the determination of Indemnitee’s entitlement to indemnification will be made by written opinion provided by Independent Counsel selected by Indemnitee (unless Indemnitee requests such selection be made by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party selecting Independent Counsel pursuant to subsection (a)(iii) or (b) of this Section 12 will provide written notice of the selection to the other party. The notified party may, within ten (10) days after receiving written notice of the selection of Independent Counsel, deliver to the selecting party a written objection to such selection;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objection may be asserted only on the ground that the Independent Counsel so selected does not meet the requirements of “Independent Counsel” as defined in Section 2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thirty (30) days after the later of submission by Indemnitee of a written request for indemnification pursuant to Section 11(a) of this Agreement and the final disposition of the Proceeding, Independent Counsel has not been selected or, if selected, any objection to such selection has not been resolved, either the Company or Indemnitee may petition the Delaware Court for resolution of any objection made by the Company or Indemnitee to the other’s selection of Independent Counsel and/or for the appointment as Independent Counsel of a person selected by such court or by such other person as such court designates. Upon the due commencement of any judicial proceeding pursuant to Section 14(a) of this Agreement, Independent Counsel will be discharged and relieved of any further responsibility in such capacity (subject to the applicable standards of professional conduct then prevailing).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it is determined that Indemnitee is entitled to indemnification, the Company will make payment to Indemnitee within thirty (30) days after such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Presumptions and Effect of Certain Proceedings.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making a determination with respect to entitlement to indemnification under this Agreement, the person, persons, or entity making such determination will, to the fullest extent not prohibited by law, presume Indemnitee is entitled to indemnification under this Agreement if Indemnitee has submitted a request for indemnification in accordance with Section 11(a)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under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determination of the Indemnitee’s entitlement to indemnification has not been made pursuant to Section 12 of this Agreement within sixty (60) days after the later of (i) receipt by the Company of Indemnitee’s request for indemnification pursuant to Section 11(a) of this Agreement and (ii) the final disposition of the Proceeding for which Indemnitee requested Indemnification (the “Determination Period”),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will not apply (i) if the determination of entitlement to indemnification is to be made by the stockholders pursuant to Section 12(a)(iv) of this Agreement and if (A)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termination of any Proceeding or of any claim, issue, or matter therein by judgment, order, settlement or conviction, or upon a plea of </w:t>
      </w:r>
      <w:r>
        <w:rPr>
          <w:rFonts w:ascii="Times New Roman;Times;Serif" w:hAnsi="Times New Roman;Times;Serif"/>
          <w:b w:val="false"/>
          <w:i w:val="false"/>
          <w:caps w:val="false"/>
          <w:smallCaps w:val="false"/>
          <w:sz w:val="20"/>
          <w:u w:val="single"/>
        </w:rPr>
        <w:t>nolo contendere</w:t>
      </w:r>
      <w:r>
        <w:rPr>
          <w:rFonts w:ascii="Times New Roman;Times;Serif" w:hAnsi="Times New Roman;Times;Serif"/>
          <w:b w:val="false"/>
          <w:i w:val="false"/>
          <w:caps w:val="false"/>
          <w:smallCaps w:val="false"/>
          <w:sz w:val="20"/>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any determination of good faith, Indemnitee will be deemed to have acted in good faith if Indemnitee acted based on (i) the records or books of account of the Company, its subsidiaries, or an Enterprise, including financial statements, (ii) information supplied to Indemnitee by the directors or officers of the Company, its subsidiaries, or an Enterprise in the course of their duties, (iii) the advice of legal counsel for the Company, its subsidiaries, or an Enterprise or (iv)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13(d) are not exclusive and do not limit in any way the other circumstances in which the Indemnitee may be deemed to have met the applicable standard of conduct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knowledge and/or actions, or failure to act, of any other person affiliated with the Company or an Enterprise (including, but not limited to, a director, officer, trustee, partner, managing member, Agent or employee) may not be imputed to Indemnitee for purposes of determining Indemnitee’s right to indemnification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Remedies of Indemnitee.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Indemnitee may commence litigation against the Company in the Delaware Court to obtain indemnification or advancement of Expenses provided by this Agreement in the event that (i) a determination is made pursuant to Section 12 of this Agreement that Indemnitee is not entitled to indemnification under this Agreement, (ii) the Company does not advance Expenses pursuant to Section 10 of this Agreement, (iii) the determination of entitlement to indemnification is not made pursuant to Section 12 of this Agreement within the Determination Period, (iv) the Company does not indemnify Indemnitee pursuant to Section 5 or 6 or the second to last sentence of Section 12(d) of this Agreement within thirty (30) days after receipt by the Company of a written request therefor, (v) the Company does not indemnify Indemnitee pursuant to Section 3, 4, 7, or 8 of this Agreement within thirty (30)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must commence such Proceeding seeking an adjudication within one hundred and eighty (180) days following the date on which Indemnitee first has the right to commence such Proceeding pursuant to this Section 14(a);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clause does not apply in respect of a Proceeding brought by Indemnitee to enforce Indemnitee’s rights under Section 5 of this Agreement. The Company will not oppose Indemnitee’s right to seek any such adjudication.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 determination is made pursuant to Section 12 of this Agreement that Indemnitee is not entitled to indemnification, any judicial proceeding commenced pursuant to this Section 14 will be conducted in all respects as a </w:t>
      </w:r>
      <w:r>
        <w:rPr>
          <w:rFonts w:ascii="Times New Roman;Times;Serif" w:hAnsi="Times New Roman;Times;Serif"/>
          <w:b w:val="false"/>
          <w:i/>
          <w:caps w:val="false"/>
          <w:smallCaps w:val="false"/>
          <w:sz w:val="20"/>
        </w:rPr>
        <w:t>de novo</w:t>
      </w:r>
      <w:r>
        <w:rPr>
          <w:rFonts w:ascii="Times New Roman;Times;Serif" w:hAnsi="Times New Roman;Times;Serif"/>
          <w:b w:val="false"/>
          <w:i w:val="false"/>
          <w:caps w:val="false"/>
          <w:smallCaps w:val="false"/>
          <w:sz w:val="20"/>
        </w:rPr>
        <w:t xml:space="preserve"> trial on the merits and Indemnitee may not be prejudiced by reason of that adverse determination. In any judicial proceeding commenced pursuant to this Section 14 the Company will have the burden of proving Indemnitee is not entitled to indemnification or advancement of Expenses, as the case may be, and will not introduce evidence of the determination made pursuant to Section 12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 determination is made pursuant to Section 12 of this Agreement that Indemnitee is entitled to indemnification, the Company will be bound by such determination in any judicial proceeding commenced pursuant to this Section 14 unless (i) a made of a material fact, or an omission of a material fact necessary to make Indemnitee’s statement not materially misleading, in connection with Indemnitees’ request for indemnification, or (ii) the Company is prohibited from indemnifying Indemnitee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to the fullest extent not prohibited by law, precluded from asserting in any judicial proceeding commenced pursuant to this Section 14 that the procedures and presumptions of this Agreement are not valid, binding, or enforceable and will stipulate in any such court that the Company is bound by all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under this Agreement. The Company, to the fullest extent permitted by law, will (within thirty (30) days after receipt by the Company of a written request therefor) advance to Indemnitee such Expenses which are incurred by Indemnitee in connection with a Proceeding concerning this Agreement, Indemnitee’s other rights to indemnification or advancement of Expenses from the Company, or concerning any directors’ and officers’ liability insurance policies maintained by the Company, and will indemnify Indemnitee against any and all such Expenses unless the court determines that Indemnitee’s claims in such action were made in bad faith or frivolous, or that the Company is prohibited by law from indemnifying Indemnitee for such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Non-exclusivity; Survival of Rights; Insurance; Subrogation.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indemnification and advancement of Expenses provided by this Agreement are not exclusive of any other rights to which Indemnitee may at any time be entitled under applicable law, the Certificate of Incorporation, the Bylaws, any agreement, a vote of stockholders, a resolution of the board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the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hereby acknowledges that Indemnitee may have certain rights to indemnification, advancement of Expenses and/or insurance provided by one or more other Persons with whom or which Indemnitee may be associated. The relationship between the Company and such other Persons, other than an Enterprise, with respect to Indemnitee’s rights to indemnification, advancement of Expenses, and insurance is described by this subsection, subject to the provisions of subsection (d) of this Section 15 with respect to a Proceeding concerning Indemnitee’s Corporate Status with an Enterprise.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hereby acknowledges and agrees: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Company’s obligations to Indemnitee are primary and any obligation of any other Persons, other than an Enterprise, are secondary (i.e., the Company is the indemnitor of first resort) with respect to any request for indemnification or advancement of Expenses made pursuant to this Agreement concerning any Proceeding;</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is primarily liable for all indemnification or advancement of Expenses obligations for any Proceeding, whether created by law, the Bylaws, the Certificate of Incorporation, contract (including this Agreement) or otherwise;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obligation of any other Persons with whom or which Indemnitee may be associated to indemnify Indemnitee and/or advance Expenses to Indemnitee in respect of any proceeding are secondary to the Company’s obligations;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will indemnify Indemnitee and advance Expenses to Indemnitee hereunder to the fullest extent provided herein without regard to any rights Indemnitee may have against any other Person with whom or which Indemnitee may be associated or an insurer of any such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irrevocably waives, relinquishes and releases (A) any other Person with whom or which Indemnitee may be associated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Person, whether or not such claim, remedy or right arises in equity or under contract, statute or common law, including, without limitation, the right to take or receive from any Person, directly or indirectly, in cash or other property or by set-off or in any other manner, payment or security on account of such claim, remedy or right.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any other Person with whom or which Indemnitee may be associated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or their insurers affect the obligations of the Company hereunder or shift primary liability for the Company’s obligation to indemnify or advance Expenses to any other Person with whom or which Indemnitee may be associated.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indemnification or advancement of Expenses provided by any other Person with whom or which Indemnitee may be associated is specifically in excess over the Company’s obligation to indemnify and advance Expenses or any valid and collectible insurance (including but not limited to any malpractice insurance or professional errors and omissions insurance) provided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that the Company maintains an insurance policy or policies providing liability insurance for directors, officers, employees, or Agents of the Company,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Indemnitee, all amounts payable as a result of such Proceeding in accordance with the terms of such policies. Indemnitee agrees to assist the Company’s efforts to cause the insurers to pay such amounts and will comply with the terms of such policies, including selection of approved panel counsel, if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event of any payment made by the Company under this Agreement, the Company will be subrogated to the extent of such payment to all of the rights of recovery of Indemnitee from any Enterprise or its insurance carrier. Indemnitee will execute all papers required and take all action necessary to secure such rights, including execution of such documents as are necessary to enable the Company to bring suit to enforce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Duration of Agreement.</w:t>
      </w:r>
      <w:r>
        <w:rPr>
          <w:rFonts w:ascii="Times New Roman;Times;Serif" w:hAnsi="Times New Roman;Times;Serif"/>
          <w:b w:val="false"/>
          <w:i w:val="false"/>
          <w:caps w:val="false"/>
          <w:smallCaps w:val="false"/>
          <w:sz w:val="20"/>
        </w:rPr>
        <w:t xml:space="preserve"> The indemnification and advancement of Expenses rights provided by or granted pursuant to this Agreement are (i) binding upon and be enforceable by the parties hereto and their respective successors and assigns (including any direct or indirect successor by purchase, merger, consolidation or otherwise to all or substantially all of the business or assets of the Company), (ii) continue as to an Indemnitee who has ceased to be a director, officer, employee or Agent of the Company or of any other Enterprise, and (iii) inure to the benefit of Indemnitee and Indemnitee’s spouse, assigns, heirs, devisees, executors and administrators and other legal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If any provision or provisions of this Agreement is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will not in any way be affected or impaired thereby and will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and advancement of Expenses in excess of that expressly provided, without limitation, by the Certificate of Incorporation, the Bylaws, vote of the Company’s stockholders or disinterested directors, or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Enforcement.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expressly confirms and agrees that it has entered into this Agreement and assumed the obligations imposed on it hereby in order to induce Indemnitee to serve as a director, officer, employee, or Agent of the Company, and the Company acknowledges that Indemnitee is relying upon this Agreement in serving or continuing to serve as director, officer, employee, or Agent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any directors’ and officers’ insurance maintained by the Company, and applicable law, is not a substitute therefor, and does not diminish or abrogate any rights of Indemnitee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 </w:t>
      </w:r>
      <w:r>
        <w:rPr>
          <w:rFonts w:ascii="Times New Roman;Times;Serif" w:hAnsi="Times New Roman;Times;Serif"/>
          <w:b w:val="false"/>
          <w:i w:val="false"/>
          <w:caps w:val="false"/>
          <w:smallCaps w:val="false"/>
          <w:sz w:val="20"/>
          <w:u w:val="single"/>
        </w:rPr>
        <w:t>Modification and Waiver.</w:t>
      </w:r>
      <w:r>
        <w:rPr>
          <w:rFonts w:ascii="Times New Roman;Times;Serif" w:hAnsi="Times New Roman;Times;Serif"/>
          <w:b w:val="false"/>
          <w:i w:val="false"/>
          <w:caps w:val="false"/>
          <w:smallCaps w:val="false"/>
          <w:sz w:val="20"/>
        </w:rPr>
        <w:t xml:space="preserve"> No supplement, modification or amendment of this Agreement is binding unless executed in writing by the parties hereto. No waiver of any of the provisions of this Agreement will be valid unless executed in writing by the party entitled to enforce the provision to be waived and any such waiver will not be deemed or constitutes a waiver of any other provisions of this Agreement nor will any waiver constitute a continuing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Notice by Indemnitee.</w:t>
      </w:r>
      <w:r>
        <w:rPr>
          <w:rFonts w:ascii="Times New Roman;Times;Serif" w:hAnsi="Times New Roman;Times;Serif"/>
          <w:b w:val="false"/>
          <w:i w:val="false"/>
          <w:caps w:val="false"/>
          <w:smallCaps w:val="false"/>
          <w:sz w:val="20"/>
        </w:rPr>
        <w:t xml:space="preserve"> Indemnitee agrees to promptly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requests, demands and other communications under this Agreement will be in writing and will be deemed to have been duly given if (a) delivered by hand to the other party, (b) sent by reputable overnight courier to the other party or (c) sent by facsimile transmission or electronic mail, with receipt of oral confirmation that such communication has been received: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Indemnitee, at the address indicated on the signature page of this Agreement, or such other address as Indemnitee provides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any other address as may have been furnished to Indemnitee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Applicable Law and Consent to Jurisdiction.</w:t>
      </w:r>
      <w:r>
        <w:rPr>
          <w:rFonts w:ascii="Times New Roman;Times;Serif" w:hAnsi="Times New Roman;Times;Serif"/>
          <w:b w:val="false"/>
          <w:i w:val="false"/>
          <w:caps w:val="false"/>
          <w:smallCaps w:val="false"/>
          <w:sz w:val="20"/>
        </w:rPr>
        <w:t xml:space="preserve"> This Agreement and the legal relations among the parties are governed by, and construed and enforced in accordance with, the laws of the State of Delaware, without regard to its conflict of laws rules. The Company and Indemnitee hereby irrevocably and unconditionally (a) agree that any action, claim, or proceeding between the parties arising out of or in connection with this Agreement may be brought only in the Delaware Court and not in any other state or federal court in the United States of America or any court in any other country, (b) consent to submit to the exclusive jurisdiction of the Delaware Court for purposes of any action, claim, or proceeding arising out of or in connection with this Agreement, (c) waive any objection to the laying of venue of any such action, claim, or proceeding in the Delaware Court, and (d) waive, and agree not to plead or to make, any claim that any such action, claim, or proceeding brought in the Delaware Court has been brought in an improper or inconvenient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Identical Counterparts.</w:t>
      </w:r>
      <w:r>
        <w:rPr>
          <w:rFonts w:ascii="Times New Roman;Times;Serif" w:hAnsi="Times New Roman;Times;Serif"/>
          <w:b w:val="false"/>
          <w:i w:val="false"/>
          <w:caps w:val="false"/>
          <w:smallCaps w:val="false"/>
          <w:sz w:val="20"/>
        </w:rPr>
        <w:t xml:space="preserve"> This Agreement may be executed in one or more counterparts, each of which will for all purposes be deemed to be an original but all of which together constitute one and the same Agreement. Only one such counterpart signed by the party against whom enforceability is sought needs to be produced to evidence the existence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xml:space="preserve"> The headings of this Agreement are inserted for convenience only and do not constitute part of this Agreement or affect the construction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signed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159" w:type="dxa"/>
        <w:jc w:val="left"/>
        <w:tblInd w:w="0" w:type="dxa"/>
        <w:tblLayout w:type="fixed"/>
        <w:tblCellMar>
          <w:top w:w="0" w:type="dxa"/>
          <w:left w:w="0" w:type="dxa"/>
          <w:bottom w:w="0" w:type="dxa"/>
          <w:right w:w="0" w:type="dxa"/>
        </w:tblCellMar>
      </w:tblPr>
      <w:tblGrid>
        <w:gridCol w:w="1429"/>
        <w:gridCol w:w="135"/>
        <w:gridCol w:w="60"/>
        <w:gridCol w:w="1403"/>
        <w:gridCol w:w="132"/>
      </w:tblGrid>
      <w:tr>
        <w:trPr/>
        <w:tc>
          <w:tcPr>
            <w:tcW w:w="1564" w:type="dxa"/>
            <w:gridSpan w:val="2"/>
            <w:tcBorders/>
            <w:vAlign w:val="center"/>
          </w:tcPr>
          <w:p>
            <w:pPr>
              <w:pStyle w:val="TableContents"/>
              <w:bidi w:val="0"/>
              <w:spacing w:before="0" w:after="283"/>
              <w:jc w:val="left"/>
              <w:rPr/>
            </w:pPr>
            <w:r>
              <w:rPr/>
              <w:t>MERLIN, INC.</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INDEMNITEE</w:t>
            </w:r>
          </w:p>
        </w:tc>
      </w:tr>
      <w:tr>
        <w:trPr/>
        <w:tc>
          <w:tcPr>
            <w:tcW w:w="142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r>
      <w:tr>
        <w:trPr/>
        <w:tc>
          <w:tcPr>
            <w:tcW w:w="1429" w:type="dxa"/>
            <w:tcBorders/>
            <w:vAlign w:val="center"/>
          </w:tcPr>
          <w:p>
            <w:pPr>
              <w:pStyle w:val="TableContents"/>
              <w:bidi w:val="0"/>
              <w:spacing w:before="0" w:after="283"/>
              <w:jc w:val="left"/>
              <w:rPr/>
            </w:pPr>
            <w:r>
              <w:rPr/>
              <w:t>By:</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29" w:type="dxa"/>
            <w:tcBorders/>
            <w:vAlign w:val="center"/>
          </w:tcPr>
          <w:p>
            <w:pPr>
              <w:pStyle w:val="TableContents"/>
              <w:bidi w:val="0"/>
              <w:spacing w:before="0" w:after="283"/>
              <w:jc w:val="left"/>
              <w:rPr/>
            </w:pPr>
            <w:r>
              <w:rPr/>
              <w:t>Name:</w:t>
            </w:r>
          </w:p>
        </w:tc>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left"/>
              <w:rPr/>
            </w:pPr>
            <w:r>
              <w:rPr/>
              <w:t>Name:</w:t>
            </w:r>
          </w:p>
        </w:tc>
        <w:tc>
          <w:tcPr>
            <w:tcW w:w="132" w:type="dxa"/>
            <w:tcBorders/>
            <w:vAlign w:val="center"/>
          </w:tcPr>
          <w:p>
            <w:pPr>
              <w:pStyle w:val="TableContents"/>
              <w:bidi w:val="0"/>
              <w:spacing w:before="0" w:after="283"/>
              <w:jc w:val="left"/>
              <w:rPr/>
            </w:pPr>
            <w:r>
              <w:rPr/>
              <w:t> </w:t>
            </w:r>
          </w:p>
        </w:tc>
      </w:tr>
      <w:tr>
        <w:trPr/>
        <w:tc>
          <w:tcPr>
            <w:tcW w:w="1429" w:type="dxa"/>
            <w:tcBorders/>
            <w:vAlign w:val="center"/>
          </w:tcPr>
          <w:p>
            <w:pPr>
              <w:pStyle w:val="TableContents"/>
              <w:bidi w:val="0"/>
              <w:spacing w:before="0" w:after="283"/>
              <w:jc w:val="left"/>
              <w:rPr/>
            </w:pPr>
            <w:r>
              <w:rPr/>
              <w:t>Office:</w:t>
            </w:r>
          </w:p>
        </w:tc>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left"/>
              <w:rPr/>
            </w:pPr>
            <w:r>
              <w:rPr/>
              <w:t>Address:</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2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2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right"/>
        <w:rPr>
          <w:rFonts w:ascii="Times New Roman;Times;Serif" w:hAnsi="Times New Roman;Times;Serif"/>
          <w:b/>
          <w:i w:val="false"/>
          <w:caps w:val="false"/>
          <w:smallCaps w:val="false"/>
          <w:sz w:val="20"/>
        </w:rPr>
      </w:pPr>
      <w:bookmarkStart w:id="46" w:name="ea028257401ex10-2.htm"/>
      <w:bookmarkStart w:id="47" w:name="ksea028257401ex102"/>
      <w:bookmarkEnd w:id="46"/>
      <w:bookmarkEnd w:id="47"/>
      <w:r>
        <w:rPr>
          <w:rFonts w:ascii="Times New Roman;Times;Serif" w:hAnsi="Times New Roman;Times;Serif"/>
          <w:b/>
          <w:i w:val="false"/>
          <w:caps w:val="false"/>
          <w:smallCaps w:val="false"/>
          <w:sz w:val="20"/>
        </w:rPr>
        <w:t>Exhibit 10.2</w:t>
      </w:r>
      <w:r>
        <w:br w:type="page"/>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March 16, 2026, is made and entered into by and among Merlin,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(formerly known as Inflection Point Acquisition Corp. IV, a Cayman Islands exempted company, prior to its domestication as a Delaware corporation), and Bleichroeder Sponsor 1 LLC, a Cayman Islands limited liability company (the “</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xml:space="preserve">”), and, together with any Person who hereafter becomes a party to this Agreement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Agreement, the “</w:t>
      </w:r>
      <w:r>
        <w:rPr>
          <w:rFonts w:ascii="Times New Roman;Times;Serif" w:hAnsi="Times New Roman;Times;Serif"/>
          <w:b/>
          <w:i/>
          <w:caps w:val="false"/>
          <w:smallCaps w:val="false"/>
          <w:sz w:val="20"/>
        </w:rPr>
        <w:t>Securityholders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Capitalized terms used but not defined herein shall have the respective meanings ascribed to such terms in the Business Combination Agreement (as defined herein).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is party to that certain Business Combination Agreement, dated as of August 13, 2025, as amended by Amendment No. 1 to the Business Combination Agreement, dated March 14, 2026 (as the same may be amended, restated, amended and restated, supplemented or otherwise modified from time to time, the “</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by and among the Company, IPDX Merger Sub, Inc., a Delaware corporation and wholly-owned subsidiary of the Company, and Merlin Labs, Inc., a Delaware corporation (“</w:t>
      </w:r>
      <w:r>
        <w:rPr>
          <w:rFonts w:ascii="Times New Roman;Times;Serif" w:hAnsi="Times New Roman;Times;Serif"/>
          <w:b/>
          <w:i/>
          <w:caps w:val="false"/>
          <w:smallCaps w:val="false"/>
          <w:sz w:val="20"/>
        </w:rPr>
        <w:t>Legacy Merlin</w:t>
      </w:r>
      <w:r>
        <w:rPr>
          <w:rFonts w:ascii="Times New Roman;Times;Serif" w:hAnsi="Times New Roman;Times;Serif"/>
          <w:b w:val="false"/>
          <w:i w:val="false"/>
          <w:caps w:val="false"/>
          <w:smallCaps w:val="false"/>
          <w:sz w:val="20"/>
        </w:rPr>
        <w:t>”), pursuant to which the Company and Legacy Merlin consummated a business combination (the “</w:t>
      </w:r>
      <w:r>
        <w:rPr>
          <w:rFonts w:ascii="Times New Roman;Times;Serif" w:hAnsi="Times New Roman;Times;Serif"/>
          <w:b/>
          <w:i/>
          <w:caps w:val="false"/>
          <w:smallCaps w:val="false"/>
          <w:sz w:val="20"/>
        </w:rPr>
        <w:t>Business Combination</w:t>
      </w:r>
      <w:r>
        <w:rPr>
          <w:rFonts w:ascii="Times New Roman;Times;Serif" w:hAnsi="Times New Roman;Times;Serif"/>
          <w:b w:val="false"/>
          <w:i w:val="false"/>
          <w:caps w:val="false"/>
          <w:smallCaps w:val="false"/>
          <w:sz w:val="20"/>
        </w:rPr>
        <w: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immediately prior to the Business Combination, the Company transferred by way of continuation to and domesticated as a Delaware corporation in accordance with Section 388 of the Delaware General Corporation Law, as amended, and the Companies Act (As Revised) of the Cayman Islands (the “</w:t>
      </w:r>
      <w:r>
        <w:rPr>
          <w:rFonts w:ascii="Times New Roman;Times;Serif" w:hAnsi="Times New Roman;Times;Serif"/>
          <w:b/>
          <w:i/>
          <w:caps w:val="false"/>
          <w:smallCaps w:val="false"/>
          <w:sz w:val="20"/>
        </w:rPr>
        <w:t>Domestication</w:t>
      </w:r>
      <w:r>
        <w:rPr>
          <w:rFonts w:ascii="Times New Roman;Times;Serif" w:hAnsi="Times New Roman;Times;Serif"/>
          <w:b w:val="false"/>
          <w:i w:val="false"/>
          <w:caps w:val="false"/>
          <w:smallCaps w:val="false"/>
          <w:sz w:val="20"/>
        </w:rPr>
        <w: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prior to the Domestication the Sponsor owned, in aggregate, (i) 8,333,333 Purchaser Class B Ordinary Shares and (ii) 425,000 Cayman Purchaser Units;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(i) immediately prior to the Domestication, each then issued and outstanding Purchaser Class B Ordinary Share was converted on a one-for-one basis into a Purchaser Class A Ordinary Share and (ii) in connection with the Domestication, (x) each then issued and outstanding Purchaser Class A Ordinary Share was converted automatically, on a one-for-one basis, into a share of common stock of the Company,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(y) each then issued and outstanding right of the Company converted automatically into one-tenth of one share of Common Stock; and (z) each then issued and outstanding Cayman Purchaser Unit was cancelled and thereafter entitled the holder thereof to 1.1 shares of Common Stock, following which the Sponsor owns 8,800,833 shares of Common Stock (the “</w:t>
      </w:r>
      <w:r>
        <w:rPr>
          <w:rFonts w:ascii="Times New Roman;Times;Serif" w:hAnsi="Times New Roman;Times;Serif"/>
          <w:b/>
          <w:i/>
          <w:caps w:val="false"/>
          <w:smallCaps w:val="false"/>
          <w:sz w:val="20"/>
        </w:rPr>
        <w:t>Lock-Up Shares</w:t>
      </w:r>
      <w:r>
        <w:rPr>
          <w:rFonts w:ascii="Times New Roman;Times;Serif" w:hAnsi="Times New Roman;Times;Serif"/>
          <w:b w:val="false"/>
          <w:i w:val="false"/>
          <w:caps w:val="false"/>
          <w:smallCaps w:val="false"/>
          <w:sz w:val="20"/>
        </w:rPr>
        <w:t>”), including 8,333,333 shares issued upon conversion of the Purchaser Class B Ordinary Shares (the “</w:t>
      </w:r>
      <w:r>
        <w:rPr>
          <w:rFonts w:ascii="Times New Roman;Times;Serif" w:hAnsi="Times New Roman;Times;Serif"/>
          <w:b/>
          <w:i/>
          <w:caps w:val="false"/>
          <w:smallCaps w:val="false"/>
          <w:sz w:val="20"/>
        </w:rPr>
        <w:t>Founder Shares</w:t>
      </w:r>
      <w:r>
        <w:rPr>
          <w:rFonts w:ascii="Times New Roman;Times;Serif" w:hAnsi="Times New Roman;Times;Serif"/>
          <w:b w:val="false"/>
          <w:i w:val="false"/>
          <w:caps w:val="false"/>
          <w:smallCaps w:val="false"/>
          <w:sz w:val="20"/>
        </w:rPr>
        <w:t>”) and 467,500 shares issued upon the cancellation of the Cayman Purchaser Units (the “</w:t>
      </w:r>
      <w:r>
        <w:rPr>
          <w:rFonts w:ascii="Times New Roman;Times;Serif" w:hAnsi="Times New Roman;Times;Serif"/>
          <w:b/>
          <w:i/>
          <w:caps w:val="false"/>
          <w:smallCaps w:val="false"/>
          <w:sz w:val="20"/>
        </w:rPr>
        <w:t>Unit Shares</w:t>
      </w:r>
      <w:r>
        <w:rPr>
          <w:rFonts w:ascii="Times New Roman;Times;Serif" w:hAnsi="Times New Roman;Times;Serif"/>
          <w:b w:val="false"/>
          <w:i w:val="false"/>
          <w:caps w:val="false"/>
          <w:smallCaps w:val="false"/>
          <w:sz w:val="20"/>
        </w:rPr>
        <w: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Business Combination, the parties hereto wish to set forth herein certain understandings between such parties with respect to restrictions on transfer of equity interests in the Company.</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mutual agreements contained herein, and for other good and valuable consideration, the receipt and sufficiency of which are hereby acknowledged, the parties hereto, each intending to be legally bound hereby, hereby agree as follows: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xml:space="preserve">. Subject to the exceptions set forth herein, each Securityholder agrees not to, without the prior written consent of the board of directors of the Company, (i) sell, offer to sell, contract or agree to sell, hypothecate, pledge, grant any option to purchase or otherwise dispose of or agree to dispose of, directly or indirectly, any Lock-Up Shares, (ii) enter into any swap or other arrangement that transfers to another, in whole or in part, any of the economic consequences of ownership of any Lock-Up Shares or (iii) take any action in furtherance of any of the matters described in the foregoing clause (i) or (ii) (the actions specified in </w:t>
      </w:r>
      <w:r>
        <w:rPr>
          <w:rFonts w:ascii="Times New Roman;Times;Serif" w:hAnsi="Times New Roman;Times;Serif"/>
          <w:b w:val="false"/>
          <w:i w:val="false"/>
          <w:caps w:val="false"/>
          <w:smallCaps w:val="false"/>
          <w:sz w:val="20"/>
          <w:u w:val="single"/>
        </w:rPr>
        <w:t>clauses (i)-(iii)</w:t>
      </w:r>
      <w:r>
        <w:rPr>
          <w:rFonts w:ascii="Times New Roman;Times;Serif" w:hAnsi="Times New Roman;Times;Serif"/>
          <w:b w:val="false"/>
          <w:i w:val="false"/>
          <w:caps w:val="false"/>
          <w:smallCaps w:val="false"/>
          <w:sz w:val="20"/>
        </w:rPr>
        <w:t>, collectively,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prior to the date that is (x) with respect to the Founder Shares, six (6) months after the consummation of the Business Combination or (y) with respect to the Unit Shares, 90 days after the consummation of the Business Combination (six (6) months or 90 days, as applicable, the “</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w:t>
      </w:r>
    </w:p>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Permitted Transfers</w:t>
      </w:r>
      <w:r>
        <w:rPr>
          <w:rFonts w:ascii="Times New Roman;Times;Serif" w:hAnsi="Times New Roman;Times;Serif"/>
          <w:b w:val="false"/>
          <w:i w:val="false"/>
          <w:caps w:val="false"/>
          <w:smallCaps w:val="false"/>
          <w:sz w:val="20"/>
        </w:rPr>
        <w:t xml:space="preserve">. The restrictions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not apply to:</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t>Transfers of any securities other than the Lock-Up Shares or any other equity security of the Company issued or issuable with respect to the Lock-Up Shares by way of a stock dividend or stock split or in connection with a combination of shares, recapitalization, merger, consolidation, spin-off, reorganization or similar transaction.</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both"/>
              <w:rPr/>
            </w:pPr>
            <w:r>
              <w:rPr/>
              <w:t>(ii)</w:t>
            </w:r>
          </w:p>
        </w:tc>
        <w:tc>
          <w:tcPr>
            <w:tcW w:w="9923" w:type="dxa"/>
            <w:tcBorders/>
            <w:vAlign w:val="center"/>
          </w:tcPr>
          <w:p>
            <w:pPr>
              <w:pStyle w:val="TableContents"/>
              <w:bidi w:val="0"/>
              <w:spacing w:before="0" w:after="283"/>
              <w:jc w:val="both"/>
              <w:rPr/>
            </w:pPr>
            <w:r>
              <w:rPr/>
              <w:t>Transfers to the Company’s officers or directors, any Affiliate or family member of any of the Company’s officers or directors, any members or partners of the Sponsor or their Affiliates, any affiliates of the Sponsor, or any employees of such Affiliates;</w:t>
            </w:r>
          </w:p>
        </w:tc>
      </w:tr>
    </w:tbl>
    <w:p>
      <w:pPr>
        <w:pStyle w:val="TextBody"/>
        <w:pBdr/>
        <w:bidi w:val="0"/>
        <w:spacing w:before="0" w:after="0"/>
        <w:ind w:left="0" w:right="0" w:firstLine="720"/>
        <w:jc w:val="both"/>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35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(iii)</w:t>
            </w:r>
          </w:p>
        </w:tc>
        <w:tc>
          <w:tcPr>
            <w:tcW w:w="9095" w:type="dxa"/>
            <w:tcBorders/>
            <w:vAlign w:val="center"/>
          </w:tcPr>
          <w:p>
            <w:pPr>
              <w:pStyle w:val="TableContents"/>
              <w:bidi w:val="0"/>
              <w:spacing w:before="0" w:after="283"/>
              <w:jc w:val="both"/>
              <w:rPr/>
            </w:pPr>
            <w:r>
              <w:rPr/>
              <w:t>In the case of an individual, Transfers to any Affiliates or family members of the Securityholder;</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2"/>
        <w:gridCol w:w="9825"/>
      </w:tblGrid>
      <w:tr>
        <w:trPr/>
        <w:tc>
          <w:tcPr>
            <w:tcW w:w="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both"/>
              <w:rPr/>
            </w:pPr>
            <w:r>
              <w:rPr/>
              <w:t>(iv)</w:t>
            </w:r>
          </w:p>
        </w:tc>
        <w:tc>
          <w:tcPr>
            <w:tcW w:w="9825" w:type="dxa"/>
            <w:tcBorders/>
            <w:vAlign w:val="center"/>
          </w:tcPr>
          <w:p>
            <w:pPr>
              <w:pStyle w:val="TableContents"/>
              <w:bidi w:val="0"/>
              <w:spacing w:before="0" w:after="283"/>
              <w:jc w:val="both"/>
              <w:rPr/>
            </w:pPr>
            <w:r>
              <w:rPr/>
              <w:t>Transfers to any investment funds or vehicles controlled or managed by the Securityholder or any of its Affiliates;</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both"/>
              <w:rPr/>
            </w:pPr>
            <w:r>
              <w:rPr/>
              <w:t>(v)</w:t>
            </w:r>
          </w:p>
        </w:tc>
        <w:tc>
          <w:tcPr>
            <w:tcW w:w="9904" w:type="dxa"/>
            <w:tcBorders/>
            <w:vAlign w:val="center"/>
          </w:tcPr>
          <w:p>
            <w:pPr>
              <w:pStyle w:val="TableContents"/>
              <w:bidi w:val="0"/>
              <w:spacing w:before="0" w:after="283"/>
              <w:jc w:val="both"/>
              <w:rPr/>
            </w:pPr>
            <w:r>
              <w:rPr/>
              <w:t xml:space="preserve">Transfers by gift to a trust, the beneficiary of which is a Person to whom a Transfer would be permitted under </w:t>
            </w:r>
            <w:r>
              <w:rPr>
                <w:u w:val="single"/>
              </w:rPr>
              <w:t>Section 2(iii)</w:t>
            </w:r>
            <w:r>
              <w:rPr/>
              <w:t>, or to a charitable organization;</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both"/>
              <w:rPr/>
            </w:pPr>
            <w:r>
              <w:rPr/>
              <w:t>(vi)</w:t>
            </w:r>
          </w:p>
        </w:tc>
        <w:tc>
          <w:tcPr>
            <w:tcW w:w="9824" w:type="dxa"/>
            <w:tcBorders/>
            <w:vAlign w:val="center"/>
          </w:tcPr>
          <w:p>
            <w:pPr>
              <w:pStyle w:val="TableContents"/>
              <w:bidi w:val="0"/>
              <w:spacing w:before="0" w:after="283"/>
              <w:jc w:val="both"/>
              <w:rPr/>
            </w:pPr>
            <w:r>
              <w:rPr/>
              <w:t>in the case of an individual, Transfers by virtue of laws of descent and distribution upon death of such individual;</w:t>
            </w:r>
          </w:p>
        </w:tc>
      </w:tr>
    </w:tbl>
    <w:p>
      <w:pPr>
        <w:pStyle w:val="TextBody"/>
        <w:pBdr/>
        <w:bidi w:val="0"/>
        <w:spacing w:before="0" w:after="0"/>
        <w:ind w:left="0" w:right="0" w:firstLine="72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41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both"/>
              <w:rPr/>
            </w:pPr>
            <w:r>
              <w:rPr/>
              <w:t>(vii)</w:t>
            </w:r>
          </w:p>
        </w:tc>
        <w:tc>
          <w:tcPr>
            <w:tcW w:w="8105" w:type="dxa"/>
            <w:tcBorders/>
            <w:vAlign w:val="center"/>
          </w:tcPr>
          <w:p>
            <w:pPr>
              <w:pStyle w:val="TableContents"/>
              <w:bidi w:val="0"/>
              <w:spacing w:before="0" w:after="283"/>
              <w:jc w:val="both"/>
              <w:rPr/>
            </w:pPr>
            <w:r>
              <w:rPr/>
              <w:t>in the case of an individual, Transfers pursuant to a qualified domestic relations order;</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0"/>
        <w:gridCol w:w="9747"/>
      </w:tblGrid>
      <w:tr>
        <w:trPr/>
        <w:tc>
          <w:tcPr>
            <w:tcW w:w="3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both"/>
              <w:rPr/>
            </w:pPr>
            <w:r>
              <w:rPr/>
              <w:t>(viii)</w:t>
            </w:r>
          </w:p>
        </w:tc>
        <w:tc>
          <w:tcPr>
            <w:tcW w:w="9747" w:type="dxa"/>
            <w:tcBorders/>
            <w:vAlign w:val="center"/>
          </w:tcPr>
          <w:p>
            <w:pPr>
              <w:pStyle w:val="TableContents"/>
              <w:bidi w:val="0"/>
              <w:spacing w:before="0" w:after="283"/>
              <w:jc w:val="both"/>
              <w:rPr/>
            </w:pPr>
            <w:r>
              <w:rPr/>
              <w:t>in the case of an individual, Transfers to a partnership, limited liability company or other entity of which the Securityholder and/or the Affiliates or family members of the Securityholder are the legal and beneficial owner of all of the outstanding equity securities or similar interests;</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6"/>
        <w:gridCol w:w="9821"/>
      </w:tblGrid>
      <w:tr>
        <w:trPr/>
        <w:tc>
          <w:tcPr>
            <w:tcW w:w="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both"/>
              <w:rPr/>
            </w:pPr>
            <w:r>
              <w:rPr/>
              <w:t>(ix)</w:t>
            </w:r>
          </w:p>
        </w:tc>
        <w:tc>
          <w:tcPr>
            <w:tcW w:w="9821" w:type="dxa"/>
            <w:tcBorders/>
            <w:vAlign w:val="center"/>
          </w:tcPr>
          <w:p>
            <w:pPr>
              <w:pStyle w:val="TableContents"/>
              <w:bidi w:val="0"/>
              <w:spacing w:before="0" w:after="283"/>
              <w:jc w:val="both"/>
              <w:rPr/>
            </w:pPr>
            <w:r>
              <w:rPr/>
              <w:t xml:space="preserve">Transfers to a nominee or custodian of a Person to whom a Transfer would be permitted under </w:t>
            </w:r>
            <w:r>
              <w:rPr>
                <w:u w:val="single"/>
              </w:rPr>
              <w:t>Section 2(iii);</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both"/>
              <w:rPr/>
            </w:pPr>
            <w:r>
              <w:rPr/>
              <w:t>(x)</w:t>
            </w:r>
          </w:p>
        </w:tc>
        <w:tc>
          <w:tcPr>
            <w:tcW w:w="9916" w:type="dxa"/>
            <w:tcBorders/>
            <w:vAlign w:val="center"/>
          </w:tcPr>
          <w:p>
            <w:pPr>
              <w:pStyle w:val="TableContents"/>
              <w:bidi w:val="0"/>
              <w:spacing w:before="0" w:after="283"/>
              <w:jc w:val="both"/>
              <w:rPr/>
            </w:pPr>
            <w:r>
              <w:rPr/>
              <w:t>by private sales or transfers made in connection with any forward purchase agreement or similar arrangement at prices no greater than the price at which the Lock-Up Shares were originally purchased;</w:t>
            </w:r>
          </w:p>
        </w:tc>
      </w:tr>
    </w:tbl>
    <w:p>
      <w:pPr>
        <w:pStyle w:val="TextBody"/>
        <w:pBdr/>
        <w:bidi w:val="0"/>
        <w:spacing w:before="0" w:after="0"/>
        <w:ind w:left="0" w:right="0" w:firstLine="72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35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(xi)</w:t>
            </w:r>
          </w:p>
        </w:tc>
        <w:tc>
          <w:tcPr>
            <w:tcW w:w="6140" w:type="dxa"/>
            <w:tcBorders/>
            <w:vAlign w:val="center"/>
          </w:tcPr>
          <w:p>
            <w:pPr>
              <w:pStyle w:val="TableContents"/>
              <w:bidi w:val="0"/>
              <w:spacing w:before="0" w:after="283"/>
              <w:jc w:val="both"/>
              <w:rPr/>
            </w:pPr>
            <w:r>
              <w:rPr/>
              <w:t>Transfers in connection with any legal, regulatory or other order;</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4"/>
        <w:gridCol w:w="9773"/>
      </w:tblGrid>
      <w:tr>
        <w:trPr/>
        <w:tc>
          <w:tcPr>
            <w:tcW w:w="3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both"/>
              <w:rPr/>
            </w:pPr>
            <w:r>
              <w:rPr/>
              <w:t>(xii)</w:t>
            </w:r>
          </w:p>
        </w:tc>
        <w:tc>
          <w:tcPr>
            <w:tcW w:w="9773" w:type="dxa"/>
            <w:tcBorders/>
            <w:vAlign w:val="center"/>
          </w:tcPr>
          <w:p>
            <w:pPr>
              <w:pStyle w:val="TableContents"/>
              <w:bidi w:val="0"/>
              <w:spacing w:before="0" w:after="283"/>
              <w:jc w:val="both"/>
              <w:rPr/>
            </w:pPr>
            <w:r>
              <w:rPr/>
              <w:t>in the case of an entity that is a trust, Transfers to a trustor or beneficiary of the trust or to the estate of a beneficiary of such trust;</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51"/>
        <w:gridCol w:w="9716"/>
      </w:tblGrid>
      <w:tr>
        <w:trPr/>
        <w:tc>
          <w:tcPr>
            <w:tcW w:w="3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both"/>
              <w:rPr/>
            </w:pPr>
            <w:r>
              <w:rPr/>
              <w:t>(xiii)</w:t>
            </w:r>
          </w:p>
        </w:tc>
        <w:tc>
          <w:tcPr>
            <w:tcW w:w="9716" w:type="dxa"/>
            <w:tcBorders/>
            <w:vAlign w:val="center"/>
          </w:tcPr>
          <w:p>
            <w:pPr>
              <w:pStyle w:val="TableContents"/>
              <w:bidi w:val="0"/>
              <w:spacing w:before="0" w:after="283"/>
              <w:jc w:val="both"/>
              <w:rPr/>
            </w:pPr>
            <w:r>
              <w:rPr/>
              <w:t>in the case of an entity, Transfers as part of a distribution to members, partners, shareholders or equityholders of the Securityholder;</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38"/>
        <w:gridCol w:w="9729"/>
      </w:tblGrid>
      <w:tr>
        <w:trPr/>
        <w:tc>
          <w:tcPr>
            <w:tcW w:w="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both"/>
              <w:rPr/>
            </w:pPr>
            <w:r>
              <w:rPr/>
              <w:t>(xiv)</w:t>
            </w:r>
          </w:p>
        </w:tc>
        <w:tc>
          <w:tcPr>
            <w:tcW w:w="9729" w:type="dxa"/>
            <w:tcBorders/>
            <w:vAlign w:val="center"/>
          </w:tcPr>
          <w:p>
            <w:pPr>
              <w:pStyle w:val="TableContents"/>
              <w:bidi w:val="0"/>
              <w:spacing w:before="0" w:after="283"/>
              <w:jc w:val="both"/>
              <w:rPr/>
            </w:pPr>
            <w:r>
              <w:rPr/>
              <w:t>in the case of an entity, Transfers by virtue of the laws of the state of the entity’s organization and the entity’s organizational documents upon dissolution of the entity;</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0"/>
        <w:gridCol w:w="9807"/>
      </w:tblGrid>
      <w:tr>
        <w:trPr/>
        <w:tc>
          <w:tcPr>
            <w:tcW w:w="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both"/>
              <w:rPr/>
            </w:pPr>
            <w:r>
              <w:rPr/>
              <w:t>(xv)</w:t>
            </w:r>
          </w:p>
        </w:tc>
        <w:tc>
          <w:tcPr>
            <w:tcW w:w="9807" w:type="dxa"/>
            <w:tcBorders/>
            <w:vAlign w:val="center"/>
          </w:tcPr>
          <w:p>
            <w:pPr>
              <w:pStyle w:val="TableContents"/>
              <w:bidi w:val="0"/>
              <w:spacing w:before="0" w:after="283"/>
              <w:jc w:val="both"/>
              <w:rPr/>
            </w:pPr>
            <w:r>
              <w:rPr/>
              <w:t>the exercise of stock options to purchase shares of Common Stock or the vesting of stock awards relating to shares of Common Stock and any related Transfer of shares of Common Stock in connection therewith (x) deemed to occur upon the “cashless” or “net” exercise of such options or</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(y)</w:t>
            </w:r>
          </w:p>
        </w:tc>
        <w:tc>
          <w:tcPr>
            <w:tcW w:w="9935" w:type="dxa"/>
            <w:tcBorders/>
            <w:vAlign w:val="center"/>
          </w:tcPr>
          <w:p>
            <w:pPr>
              <w:pStyle w:val="TableContents"/>
              <w:bidi w:val="0"/>
              <w:spacing w:before="0" w:after="283"/>
              <w:jc w:val="both"/>
              <w:rPr/>
            </w:pPr>
            <w:r>
              <w:rPr/>
              <w:t>for the purpose of paying the exercise price of such options or for paying taxes due as a result of the exercise of such options, the vesting of such options or stock awards, or as a result of the vesting of such shares of Common Stock, it being understood that all shares of Common Stock received upon such exercise, vesting or transfer will remain subject to the restrictions of this Agreement during the Lock-Up Period;</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2"/>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both"/>
              <w:rPr/>
            </w:pPr>
            <w:r>
              <w:rPr/>
              <w:t>(xvi)</w:t>
            </w:r>
          </w:p>
        </w:tc>
        <w:tc>
          <w:tcPr>
            <w:tcW w:w="9755" w:type="dxa"/>
            <w:tcBorders/>
            <w:vAlign w:val="center"/>
          </w:tcPr>
          <w:p>
            <w:pPr>
              <w:pStyle w:val="TableContents"/>
              <w:bidi w:val="0"/>
              <w:spacing w:before="0" w:after="283"/>
              <w:jc w:val="both"/>
              <w:rPr/>
            </w:pPr>
            <w:r>
              <w:rPr/>
              <w:t>Transfers to the Company pursuant to any contractual arrangement in effect upon the consummation of the Business Combination that provides for the repurchase by the Company or forfeiture of Common Stock or other securities convertible into, or exercisable, redeemable or exchangeable for, Common Stock in connection with the termination of the Securityholder’s service to the Company;</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7"/>
        <w:gridCol w:w="9700"/>
      </w:tblGrid>
      <w:tr>
        <w:trPr/>
        <w:tc>
          <w:tcPr>
            <w:tcW w:w="3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both"/>
              <w:rPr/>
            </w:pPr>
            <w:r>
              <w:rPr/>
              <w:t>(xvii)</w:t>
            </w:r>
          </w:p>
        </w:tc>
        <w:tc>
          <w:tcPr>
            <w:tcW w:w="9700" w:type="dxa"/>
            <w:tcBorders/>
            <w:vAlign w:val="center"/>
          </w:tcPr>
          <w:p>
            <w:pPr>
              <w:pStyle w:val="TableContents"/>
              <w:bidi w:val="0"/>
              <w:spacing w:before="0" w:after="283"/>
              <w:jc w:val="both"/>
              <w:rPr/>
            </w:pPr>
            <w:r>
              <w:rPr/>
              <w:t xml:space="preserve">the entry, by the Securityholder, at any time after the consummation of the Business Combination, of any trading plan providing for the sale of shares of Common Stock by the Securityholder, which trading plan meets the requirements of Rule 10b5-1(c) under the Exchange Act; </w:t>
            </w:r>
            <w:r>
              <w:rPr>
                <w:i/>
              </w:rPr>
              <w:t>provided</w:t>
            </w:r>
            <w:r>
              <w:rPr/>
              <w:t xml:space="preserve">, </w:t>
            </w:r>
            <w:r>
              <w:rPr>
                <w:i/>
              </w:rPr>
              <w:t>however</w:t>
            </w:r>
            <w:r>
              <w:rPr/>
              <w:t>, that such plan does not provide for, or permit, the sale of any shares of Common Stock during the Lock-Up Period and no public announcement or filing is voluntarily made or required regarding such plan during the Lock-Up Period;</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9"/>
        <w:gridCol w:w="9628"/>
      </w:tblGrid>
      <w:tr>
        <w:trPr/>
        <w:tc>
          <w:tcPr>
            <w:tcW w:w="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both"/>
              <w:rPr/>
            </w:pPr>
            <w:r>
              <w:rPr/>
              <w:t>(xviii)</w:t>
            </w:r>
          </w:p>
        </w:tc>
        <w:tc>
          <w:tcPr>
            <w:tcW w:w="9628" w:type="dxa"/>
            <w:tcBorders/>
            <w:vAlign w:val="center"/>
          </w:tcPr>
          <w:p>
            <w:pPr>
              <w:pStyle w:val="TableContents"/>
              <w:bidi w:val="0"/>
              <w:spacing w:before="0" w:after="283"/>
              <w:jc w:val="both"/>
              <w:rPr/>
            </w:pPr>
            <w:r>
              <w:rPr/>
              <w:t>Transfers in the event of the completion of a liquidation, merger, stock exchange, reorganization or other similar transaction that results in all of the Company’s securityholders having the right to exchange their shares of Common Stock for cash, securities or other property; and</w:t>
            </w:r>
          </w:p>
        </w:tc>
      </w:tr>
    </w:tbl>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3"/>
        <w:gridCol w:w="9764"/>
      </w:tblGrid>
      <w:tr>
        <w:trPr/>
        <w:tc>
          <w:tcPr>
            <w:tcW w:w="3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both"/>
              <w:rPr/>
            </w:pPr>
            <w:r>
              <w:rPr/>
              <w:t>(xix)</w:t>
            </w:r>
          </w:p>
        </w:tc>
        <w:tc>
          <w:tcPr>
            <w:tcW w:w="9764" w:type="dxa"/>
            <w:tcBorders/>
            <w:vAlign w:val="center"/>
          </w:tcPr>
          <w:p>
            <w:pPr>
              <w:pStyle w:val="TableContents"/>
              <w:bidi w:val="0"/>
              <w:spacing w:before="0" w:after="283"/>
              <w:jc w:val="both"/>
              <w:rPr/>
            </w:pPr>
            <w:r>
              <w:rPr/>
              <w:t>Transfers to satisfy any U.S. federal, state, or local income tax obligations of a Securityholder (or its direct or indirect owners) arising from a change in the U.S. Internal Revenue Code of 1986, as amended (the “</w:t>
            </w:r>
            <w:r>
              <w:rPr>
                <w:b/>
                <w:i/>
              </w:rPr>
              <w:t>Code</w:t>
            </w:r>
            <w:r>
              <w:rPr/>
              <w:t>”), or the U.S. Treasury Regulations promulgated thereunder (the “</w:t>
            </w:r>
            <w:r>
              <w:rPr>
                <w:b/>
                <w:i/>
              </w:rPr>
              <w:t>Regulations</w:t>
            </w:r>
            <w:r>
              <w:rPr/>
              <w:t xml:space="preserve">”) after the date on which the Business Combination Agreement was executed by the parties, and such change prevents the Business Combination from qualifying as a “reorganization” pursuant to Section 368 of the Code (and the Business Combination does not qualify for similar tax-free treatment pursuant to any successor or other provision of the Code or Regulations taking into account such changes), in each case solely and to the extent necessary to cover any tax liability as a direct result of the transaction. </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in the case of clauses (ii) through (xiii), as a prerequisite to such Transfer, such permitted transferee(s) must enter into joinder to this Agreement,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in order to become a “Securityholder” for purposes of this Agreement. For purposes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“immediate family” shall mean a spouse, domestic partner, child (including by adoption), father, mother, brother or sister of the Securityholder, and lineal descendant (including by adoption) of the Securityholder or of any of the foregoing persons.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Agreement shall terminate upon the earlier of (i) the expiration of the Common Stock Lock-Up Period, (ii) the closing of a merger, liquidation, stock exchange, reorganization or other similar transaction after the date hereof that results in all of the public stockholders of the Company having the right to exchange their shares of Common Stock for cash securities or other property and (iii) the liquidation of the Company.</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Prohibited Transfers</w:t>
      </w:r>
      <w:r>
        <w:rPr>
          <w:rFonts w:ascii="Times New Roman;Times;Serif" w:hAnsi="Times New Roman;Times;Serif"/>
          <w:b w:val="false"/>
          <w:i w:val="false"/>
          <w:caps w:val="false"/>
          <w:smallCaps w:val="false"/>
          <w:sz w:val="20"/>
        </w:rPr>
        <w:t>. In furtherance of the foregoing, the Company, and any duly appointed transfer agent for the registration or transfer of the securities described therein, are hereby authorized to decline to make any transfer of securities if such transfer would constitute a violation or breach of this Agreement.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This Agreement may be amended, supplemented or modified only by execution of a written instrument signed by the Company and the Securityholders holding a majority of the aggregate number of shares of Common Stock then held by all Securityholders as to which this Agreement has not been terminated, executed in the same manner as this Agreement and which makes reference to this Agreement.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This Agreement and the documents or instruments referred to herein embody the entire agreement and understanding of the parties hereto in respect of the subject matter contained herein. There are no restrictions, promises, representations, warranties, covenants or undertakings, other than those expressly set forth or referred to herein or the documents or instruments referred to herein, which collectively supersede all prior agreements and the understandings among the parties hereto with respect to the subject matter contained herein.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Binding Effect; Assignment</w:t>
      </w:r>
      <w:r>
        <w:rPr>
          <w:rFonts w:ascii="Times New Roman;Times;Serif" w:hAnsi="Times New Roman;Times;Serif"/>
          <w:b w:val="false"/>
          <w:i w:val="false"/>
          <w:caps w:val="false"/>
          <w:smallCaps w:val="false"/>
          <w:sz w:val="20"/>
        </w:rPr>
        <w:t xml:space="preserve">. This Agreement and all of the provisions hereof shall be binding upon and inure to the benefit of the parties hereto and their respective successors and permitted assigns. This Agreement shall not be assigned by operation of Law or otherwise without the prior written consent of the parties hereto, and any assignment without such consent shall be null and void;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assignment shall relieve the assigning party of its obligations hereunder.</w:t>
      </w:r>
    </w:p>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Jurisdiction</w:t>
      </w:r>
      <w:r>
        <w:rPr>
          <w:rFonts w:ascii="Times New Roman;Times;Serif" w:hAnsi="Times New Roman;Times;Serif"/>
          <w:b w:val="false"/>
          <w:i w:val="false"/>
          <w:caps w:val="false"/>
          <w:smallCaps w:val="false"/>
          <w:sz w:val="20"/>
        </w:rPr>
        <w:t xml:space="preserve">. Any Legal Proceeding based upon, arising out of or related to this Agreement or the transactions contemplated hereby must be brought in the Court of Chancery of the State of Delaware (or, to the extent such court does not have jurisdiction, in the United States District Court for the District of Delaware and to the extent such court does not have subject matter jurisdiction, the Superior Court of the State of Delaware), and each of the parties irrevocably (i) submits to the exclusive jurisdiction of each such court in any such Legal Proceeding, (ii) waives any objection it may now or hereafter have to personal jurisdiction, venue or to convenience of forum, (iii) agrees that all claims in respect of the Legal Proceeding shall be heard and determined only in any such court, and (iv) agrees not to bring any Legal Proceeding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Legal Proceeding, suit or proceeding brought pursuant to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PARTY ACKNOWLEDGES AND AGREES THAT ANY CONTROVERSY WHICH MAY ARISE UNDER THIS AGREEMENT AND THE TRANSACTIONS CONTEMPLATED HEREBY IS LIKELY TO INVOLVE COMPLICATED AND DIFFICULT ISSUES, AND THEREFORE EACH SUCH PARTY HEREBY IRREVOCABLY, UNCONDITIONALLY AND VOLUNTARILY WAIVES ANY RIGHT SUCH PARTY MAY HAVE TO A TRIAL BY JURY IN RESPECT OF ANY ACTION, SUIT OR PROCEEDING DIRECTLY OR INDIRECTLY ARISING OUT OF OR RELATING TO THIS AGREEMENT OR ANY OF THE TRANSACTIONS CONTEMPLATED HEREBY.</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(and any joinder to this Agreement) may be executed and delivered (including by facsimile or other electronic transmission) in one or more counterparts, and by the different parties hereto in separate counterparts, each of which when executed shall be deemed to be an original but all of which taken together shall constitute one and the same agreement.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In case any provision in this Agreement shall be held invalid, illegal or unenforceable in a jurisdiction, such 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caps w:val="false"/>
          <w:smallCaps w:val="false"/>
          <w:sz w:val="20"/>
        </w:rPr>
        <w:t>Liability</w:t>
      </w:r>
      <w:r>
        <w:rPr>
          <w:rFonts w:ascii="Times New Roman;Times;Serif" w:hAnsi="Times New Roman;Times;Serif"/>
          <w:b w:val="false"/>
          <w:i w:val="false"/>
          <w:caps w:val="false"/>
          <w:smallCaps w:val="false"/>
          <w:sz w:val="20"/>
        </w:rPr>
        <w:t>. The liability of any Securityholder hereunder is several (and not joint). Notwithstanding any other provision of this Agreement, in no event will any Securityholder be liable for any other Securityholder’s breach of such other Securityholder’s obligations under this Agreement.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date first above written.</w:t>
      </w:r>
    </w:p>
    <w:p>
      <w:pPr>
        <w:pStyle w:val="TextBody"/>
        <w:pBdr/>
        <w:bidi w:val="0"/>
        <w:spacing w:before="0" w:after="0"/>
        <w:ind w:left="0" w:right="0" w:firstLine="72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b/>
                <w:sz w:val="20"/>
              </w:rPr>
            </w:pPr>
            <w:r>
              <w:rPr>
                <w:b/>
                <w:sz w:val="20"/>
              </w:rPr>
              <w:t>MERLIN, INC.</w:t>
            </w:r>
          </w:p>
        </w:tc>
      </w:tr>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Matthew George</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955" w:type="dxa"/>
            <w:tcBorders/>
            <w:vAlign w:val="center"/>
          </w:tcPr>
          <w:p>
            <w:pPr>
              <w:pStyle w:val="TableContents"/>
              <w:bidi w:val="0"/>
              <w:spacing w:before="0" w:after="283"/>
              <w:jc w:val="left"/>
              <w:rPr>
                <w:sz w:val="20"/>
              </w:rPr>
            </w:pPr>
            <w:r>
              <w:rPr>
                <w:sz w:val="20"/>
              </w:rPr>
              <w:t>Matthew George</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 – Sponsor]</w:t>
      </w:r>
    </w:p>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rPr>
      </w:pPr>
      <w:r>
        <w:rPr>
          <w:rFonts w:ascii="Times New Roman;Times;Serif" w:hAnsi="Times New Roman;Times;Serif"/>
        </w:rPr>
        <w:t>IN WITNESS WHEREOF, the parties hereto have duly executed this Agreement as of the date first above written.</w:t>
      </w:r>
    </w:p>
    <w:p>
      <w:pPr>
        <w:pStyle w:val="TextBody"/>
        <w:pBdr/>
        <w:bidi w:val="0"/>
        <w:spacing w:before="0" w:after="0"/>
        <w:ind w:left="0" w:right="0" w:firstLine="720"/>
        <w:jc w:val="both"/>
        <w:rPr>
          <w:caps w:val="false"/>
          <w:smallCaps w:val="false"/>
        </w:rPr>
      </w:pPr>
      <w:r>
        <w:rPr>
          <w:caps w:val="false"/>
          <w:smallCaps w:val="false"/>
        </w:rPr>
        <w:t> </w:t>
      </w:r>
    </w:p>
    <w:tbl>
      <w:tblPr>
        <w:tblW w:w="3244" w:type="dxa"/>
        <w:jc w:val="left"/>
        <w:tblInd w:w="0" w:type="dxa"/>
        <w:tblLayout w:type="fixed"/>
        <w:tblCellMar>
          <w:top w:w="0" w:type="dxa"/>
          <w:left w:w="0" w:type="dxa"/>
          <w:bottom w:w="0" w:type="dxa"/>
          <w:right w:w="0" w:type="dxa"/>
        </w:tblCellMar>
      </w:tblPr>
      <w:tblGrid>
        <w:gridCol w:w="75"/>
        <w:gridCol w:w="791"/>
        <w:gridCol w:w="2378"/>
      </w:tblGrid>
      <w:tr>
        <w:trPr/>
        <w:tc>
          <w:tcPr>
            <w:tcW w:w="7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SECURITYHOLDER:</w:t>
            </w:r>
          </w:p>
          <w:p>
            <w:pPr>
              <w:pStyle w:val="TableContents"/>
              <w:bidi w:val="0"/>
              <w:jc w:val="left"/>
              <w:rPr/>
            </w:pPr>
            <w:r>
              <w:rPr/>
              <w:t> </w:t>
            </w:r>
          </w:p>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BLEICHROEDER SPONSOR 1 LLC</w:t>
            </w:r>
          </w:p>
        </w:tc>
      </w:tr>
      <w:tr>
        <w:trPr/>
        <w:tc>
          <w:tcPr>
            <w:tcW w:w="7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78"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rPr>
              <w:t xml:space="preserve">Andrew Gundlach </w:t>
            </w:r>
          </w:p>
        </w:tc>
      </w:tr>
      <w:tr>
        <w:trPr/>
        <w:tc>
          <w:tcPr>
            <w:tcW w:w="75"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 xml:space="preserve">Name: </w:t>
            </w:r>
          </w:p>
        </w:tc>
        <w:tc>
          <w:tcPr>
            <w:tcW w:w="2378"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 xml:space="preserve">Andrew Gundlach </w:t>
            </w:r>
          </w:p>
        </w:tc>
      </w:tr>
      <w:tr>
        <w:trPr/>
        <w:tc>
          <w:tcPr>
            <w:tcW w:w="75"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Title:</w:t>
            </w:r>
          </w:p>
        </w:tc>
        <w:tc>
          <w:tcPr>
            <w:tcW w:w="2378"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Managing Member</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 – Sponsor]</w:t>
      </w:r>
    </w:p>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JOINDER TO LOCKUP AGREEMENT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Lockup Agreement, dated as of March 16, 2026, by and among Merlin,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the Securityholders (as defined therein) from time to time party thereto (as amended, supplemented or otherwise modified from time to time, the “</w:t>
      </w:r>
      <w:r>
        <w:rPr>
          <w:rFonts w:ascii="Times New Roman;Times;Serif" w:hAnsi="Times New Roman;Times;Serif"/>
          <w:b/>
          <w:i/>
          <w:caps w:val="false"/>
          <w:smallCaps w:val="false"/>
          <w:sz w:val="20"/>
        </w:rPr>
        <w:t>Lockup Agreement</w:t>
      </w:r>
      <w:r>
        <w:rPr>
          <w:rFonts w:ascii="Times New Roman;Times;Serif" w:hAnsi="Times New Roman;Times;Serif"/>
          <w:b w:val="false"/>
          <w:i w:val="false"/>
          <w:caps w:val="false"/>
          <w:smallCaps w:val="false"/>
          <w:sz w:val="20"/>
        </w:rPr>
        <w:t>”). Capitalized terms used but not otherwise defined herein shall have the meanings ascribed to such terms in the Lockup Agreement.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undersigned holder of equity interests in the Company (the “</w:t>
      </w:r>
      <w:r>
        <w:rPr>
          <w:rFonts w:ascii="Times New Roman;Times;Serif" w:hAnsi="Times New Roman;Times;Serif"/>
          <w:b/>
          <w:i/>
          <w:caps w:val="false"/>
          <w:smallCaps w:val="false"/>
          <w:sz w:val="20"/>
        </w:rPr>
        <w:t>New Securityholder</w:t>
      </w:r>
      <w:r>
        <w:rPr>
          <w:rFonts w:ascii="Times New Roman;Times;Serif" w:hAnsi="Times New Roman;Times;Serif"/>
          <w:b w:val="false"/>
          <w:i w:val="false"/>
          <w:caps w:val="false"/>
          <w:smallCaps w:val="false"/>
          <w:sz w:val="20"/>
        </w:rPr>
        <w:t>”) agrees that this Joinder to the Lockup Agreement (this “</w:t>
      </w:r>
      <w:r>
        <w:rPr>
          <w:rFonts w:ascii="Times New Roman;Times;Serif" w:hAnsi="Times New Roman;Times;Serif"/>
          <w:b/>
          <w:i/>
          <w:caps w:val="false"/>
          <w:smallCaps w:val="false"/>
          <w:sz w:val="20"/>
        </w:rPr>
        <w:t>Joinder</w:t>
      </w:r>
      <w:r>
        <w:rPr>
          <w:rFonts w:ascii="Times New Roman;Times;Serif" w:hAnsi="Times New Roman;Times;Serif"/>
          <w:b w:val="false"/>
          <w:i w:val="false"/>
          <w:caps w:val="false"/>
          <w:smallCaps w:val="false"/>
          <w:sz w:val="20"/>
        </w:rPr>
        <w:t>”) is being executed and delivered for good and valuable consideration, the receipt and sufficiency of which are hereby acknowledged.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Securityholder hereby agrees to and does become party to the Lockup Agreement as a Securityholder. This Joinder shall serve as a counterpart signature page to the Lockup Agreement and by executing below, the New Securityholder is deemed to have executed the Lockup Agreement with the same force and effect as if originally named a party thereto.</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may be executed and delivered (including by facsimile or other electronic transmission) in one or more counterparts, and by the different parties hereto in separate counterparts, each of which when executed shall be deemed to be an original but all of which taken together shall constitute one and the same agreement.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duly executed this Joinder as of the date first set forth above.</w:t>
      </w:r>
    </w:p>
    <w:p>
      <w:pPr>
        <w:pStyle w:val="TextBody"/>
        <w:pBdr/>
        <w:bidi w:val="0"/>
        <w:spacing w:before="0" w:after="0"/>
        <w:ind w:left="0" w:right="0" w:firstLine="72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75"/>
        <w:gridCol w:w="529"/>
        <w:gridCol w:w="885"/>
        <w:gridCol w:w="1664"/>
      </w:tblGrid>
      <w:tr>
        <w:trPr/>
        <w:tc>
          <w:tcPr>
            <w:tcW w:w="75"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w:t>
            </w:r>
          </w:p>
        </w:tc>
        <w:tc>
          <w:tcPr>
            <w:tcW w:w="16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By:</w:t>
            </w:r>
          </w:p>
        </w:tc>
        <w:tc>
          <w:tcPr>
            <w:tcW w:w="254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Name:</w:t>
            </w:r>
          </w:p>
        </w:tc>
        <w:tc>
          <w:tcPr>
            <w:tcW w:w="16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Title:</w:t>
            </w:r>
          </w:p>
        </w:tc>
        <w:tc>
          <w:tcPr>
            <w:tcW w:w="16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78" w:type="dxa"/>
            <w:gridSpan w:val="3"/>
            <w:tcBorders/>
            <w:vAlign w:val="center"/>
          </w:tcPr>
          <w:p>
            <w:pPr>
              <w:pStyle w:val="TableContents"/>
              <w:bidi w:val="0"/>
              <w:spacing w:before="0" w:after="283"/>
              <w:jc w:val="left"/>
              <w:rPr>
                <w:b/>
              </w:rPr>
            </w:pPr>
            <w:r>
              <w:rPr>
                <w:b/>
              </w:rPr>
              <w:t>NEW SECURITYHOLDER:</w:t>
            </w:r>
          </w:p>
        </w:tc>
      </w:tr>
      <w:tr>
        <w:trPr/>
        <w:tc>
          <w:tcPr>
            <w:tcW w:w="75"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b/>
                <w:sz w:val="20"/>
              </w:rPr>
            </w:pPr>
            <w:r>
              <w:rPr>
                <w:b/>
                <w:sz w:val="20"/>
              </w:rPr>
              <w:t>[●]</w:t>
            </w:r>
          </w:p>
        </w:tc>
        <w:tc>
          <w:tcPr>
            <w:tcW w:w="16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By: </w:t>
            </w:r>
          </w:p>
        </w:tc>
        <w:tc>
          <w:tcPr>
            <w:tcW w:w="254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Name: </w:t>
            </w:r>
          </w:p>
        </w:tc>
        <w:tc>
          <w:tcPr>
            <w:tcW w:w="16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Title:</w:t>
            </w:r>
          </w:p>
        </w:tc>
        <w:tc>
          <w:tcPr>
            <w:tcW w:w="1664" w:type="dxa"/>
            <w:tcBorders/>
            <w:vAlign w:val="center"/>
          </w:tcPr>
          <w:p>
            <w:pPr>
              <w:pStyle w:val="TableContents"/>
              <w:bidi w:val="0"/>
              <w:spacing w:before="0" w:after="283"/>
              <w:jc w:val="left"/>
              <w:rPr/>
            </w:pPr>
            <w:r>
              <w:rPr/>
              <w:t> </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Joinder to Lock-Up Agreement]</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8" w:name="ea028257401ex10-3.htm"/>
      <w:bookmarkStart w:id="49" w:name="ksea028257401ex103"/>
      <w:bookmarkEnd w:id="48"/>
      <w:bookmarkEnd w:id="49"/>
      <w:r>
        <w:rPr>
          <w:rFonts w:ascii="Times New Roman;Times;Serif" w:hAnsi="Times New Roman;Times;Serif"/>
          <w:b/>
          <w:i w:val="false"/>
          <w:caps w:val="false"/>
          <w:smallCaps w:val="false"/>
          <w:sz w:val="20"/>
        </w:rPr>
        <w:t>Exhibit 10.3</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March 16, 2026, is made and entered into by and among Merlin,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(formerly known as Bleichroeder Acquisition Corp. I, a Cayman Islands exempted company, prior to its domestication as a Delaware corporation), and the Persons set forth on Schedule I hereto (such Persons, together with any Person who hereafter becomes a party to this Agreement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Agreement, the “</w:t>
      </w:r>
      <w:r>
        <w:rPr>
          <w:rFonts w:ascii="Times New Roman;Times;Serif" w:hAnsi="Times New Roman;Times;Serif"/>
          <w:b/>
          <w:i/>
          <w:caps w:val="false"/>
          <w:smallCaps w:val="false"/>
          <w:sz w:val="20"/>
        </w:rPr>
        <w:t>Securityholders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Capitalized terms used but not defined herein shall have the respective meanings ascribed to such terms in the Business Combination Agreement (as defined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is party to that certain Business Combination Agreement, dated as of August 13, 2025 (as the same may be amended, restated, amended and restated, supplemented or otherwise modified from time to time, the “</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by and among the Company, IPDX Merger Sub, Inc., a Delaware corporation and Merlin Labs, Inc., a Delaware corporation (“</w:t>
      </w:r>
      <w:r>
        <w:rPr>
          <w:rFonts w:ascii="Times New Roman;Times;Serif" w:hAnsi="Times New Roman;Times;Serif"/>
          <w:b/>
          <w:i/>
          <w:caps w:val="false"/>
          <w:smallCaps w:val="false"/>
          <w:sz w:val="20"/>
        </w:rPr>
        <w:t>Legacy Merlin</w:t>
      </w:r>
      <w:r>
        <w:rPr>
          <w:rFonts w:ascii="Times New Roman;Times;Serif" w:hAnsi="Times New Roman;Times;Serif"/>
          <w:b w:val="false"/>
          <w:i w:val="false"/>
          <w:caps w:val="false"/>
          <w:smallCaps w:val="false"/>
          <w:sz w:val="20"/>
        </w:rPr>
        <w:t>”), pursuant to which the Company and Legacy Merlin consummated a business combination (the “</w:t>
      </w:r>
      <w:r>
        <w:rPr>
          <w:rFonts w:ascii="Times New Roman;Times;Serif" w:hAnsi="Times New Roman;Times;Serif"/>
          <w:b/>
          <w:i/>
          <w:caps w:val="false"/>
          <w:smallCaps w:val="false"/>
          <w:sz w:val="20"/>
        </w:rPr>
        <w:t>Business Combination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following the consummation of the Business Combination, each Securityholder owns equity interests in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Business Combination, the parties hereto wish to set forth herein certain understandings between such parties with respect to restrictions on transfer of equity interests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mutual agreements contained herein, and for other good and valuable consideration, the receipt and sufficiency of which are hereby acknowledged, the parties hereto, each intending to be legally bound hereby,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Subject to the exceptions set forth herein, each Securityholder agrees not to, without the prior written consent of the board of directors of the Company, (i) sell, offer to sell, contract or agree to sell, hypothecate, pledge, grant any option to purchase or otherwise dispose of or agree to dispose of, directly or indirectly, (a) any shares of common stock, par value $0.0001 per share, of the Company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xml:space="preserve">”) held by it immediately after the consummation of the Business Combination, (b) any shares of Common Stock issuable upon the exercise of options to purchase shares of Common Stock held by it immediately after the consummation of the Business Combination, or (c) any securities convertible into, or exercisable, redeemable or exchangeable for, Common Stock (including any securities of the Company that when paired with one or more other securities of the Company or another entity entitles the holder thereof to receive, Common Stock) held by it immediately after the consummation of the Business Combination other than any securities of the Company issued or issuable upon exchange, exercise or conversion of those certain Convertible Promissory Notes or Common Stock Purchase Warrants issued pursuant to that certain Note Purchase Agreement, dated as of July 2, 2025, by and among Legacy Merlin and the purchasers named therein (as amended from time to time) (the shares of Common Stock and securities specified in </w:t>
      </w:r>
      <w:r>
        <w:rPr>
          <w:rFonts w:ascii="Times New Roman;Times;Serif" w:hAnsi="Times New Roman;Times;Serif"/>
          <w:b w:val="false"/>
          <w:i w:val="false"/>
          <w:caps w:val="false"/>
          <w:smallCaps w:val="false"/>
          <w:sz w:val="20"/>
          <w:u w:val="single"/>
        </w:rPr>
        <w:t>clauses (a)-(c)</w:t>
      </w:r>
      <w:r>
        <w:rPr>
          <w:rFonts w:ascii="Times New Roman;Times;Serif" w:hAnsi="Times New Roman;Times;Serif"/>
          <w:b w:val="false"/>
          <w:i w:val="false"/>
          <w:caps w:val="false"/>
          <w:smallCaps w:val="false"/>
          <w:sz w:val="20"/>
        </w:rPr>
        <w:t>, collectively, the “</w:t>
      </w:r>
      <w:r>
        <w:rPr>
          <w:rFonts w:ascii="Times New Roman;Times;Serif" w:hAnsi="Times New Roman;Times;Serif"/>
          <w:b/>
          <w:i/>
          <w:caps w:val="false"/>
          <w:smallCaps w:val="false"/>
          <w:sz w:val="20"/>
        </w:rPr>
        <w:t>Lock-up Shares</w:t>
      </w:r>
      <w:r>
        <w:rPr>
          <w:rFonts w:ascii="Times New Roman;Times;Serif" w:hAnsi="Times New Roman;Times;Serif"/>
          <w:b w:val="false"/>
          <w:i w:val="false"/>
          <w:caps w:val="false"/>
          <w:smallCaps w:val="false"/>
          <w:sz w:val="20"/>
        </w:rPr>
        <w:t xml:space="preserve">”), (ii) enter into any swap or other arrangement that transfers to another, in whole or in part, any of the economic consequences of ownership of any Lock-up Shares or (iii) take any action in furtherance of any of the matters described in the foregoing clause (i) or (ii) (the actions specified in </w:t>
      </w:r>
      <w:r>
        <w:rPr>
          <w:rFonts w:ascii="Times New Roman;Times;Serif" w:hAnsi="Times New Roman;Times;Serif"/>
          <w:b w:val="false"/>
          <w:i w:val="false"/>
          <w:caps w:val="false"/>
          <w:smallCaps w:val="false"/>
          <w:sz w:val="20"/>
          <w:u w:val="single"/>
        </w:rPr>
        <w:t>clauses (i)-(iii)</w:t>
      </w:r>
      <w:r>
        <w:rPr>
          <w:rFonts w:ascii="Times New Roman;Times;Serif" w:hAnsi="Times New Roman;Times;Serif"/>
          <w:b w:val="false"/>
          <w:i w:val="false"/>
          <w:caps w:val="false"/>
          <w:smallCaps w:val="false"/>
          <w:sz w:val="20"/>
        </w:rPr>
        <w:t>, collectively,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prior to the date that is six (6) months after the consummation of the Business Combination (the “</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200"/>
        <w:gridCol w:w="725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7250" w:type="dxa"/>
            <w:tcBorders/>
            <w:vAlign w:val="center"/>
          </w:tcPr>
          <w:p>
            <w:pPr>
              <w:pStyle w:val="TableContents"/>
              <w:bidi w:val="0"/>
              <w:spacing w:before="0" w:after="283"/>
              <w:jc w:val="left"/>
              <w:rPr/>
            </w:pPr>
            <w:r>
              <w:rPr>
                <w:i/>
              </w:rPr>
              <w:t>Permitted Transfers</w:t>
            </w:r>
            <w:r>
              <w:rPr/>
              <w:t xml:space="preserve">. The restrictions set forth in </w:t>
            </w:r>
            <w:r>
              <w:rPr>
                <w:u w:val="single"/>
              </w:rPr>
              <w:t>Section 1</w:t>
            </w:r>
            <w:r>
              <w:rPr/>
              <w:t xml:space="preserve"> shall not apply to:</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(i)</w:t>
            </w:r>
          </w:p>
        </w:tc>
        <w:tc>
          <w:tcPr>
            <w:tcW w:w="9954" w:type="dxa"/>
            <w:tcBorders/>
            <w:vAlign w:val="center"/>
          </w:tcPr>
          <w:p>
            <w:pPr>
              <w:pStyle w:val="TableContents"/>
              <w:bidi w:val="0"/>
              <w:spacing w:before="0" w:after="283"/>
              <w:jc w:val="both"/>
              <w:rPr/>
            </w:pPr>
            <w:r>
              <w:rPr/>
              <w:t>Transfers of any securities other than (a) the Lock-Up Shares and (b) any other equity security of the Company issued or issuable with respect to the Lock-Up Shares by way of a stock dividend or stock split or in connection with a combination of shares, recapitalization, merger, consolidation, spin-off, reorganization or similar transaction;</w:t>
            </w:r>
          </w:p>
        </w:tc>
      </w:tr>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954" w:type="dxa"/>
            <w:tcBorders/>
            <w:vAlign w:val="center"/>
          </w:tcPr>
          <w:p>
            <w:pPr>
              <w:pStyle w:val="TableContents"/>
              <w:bidi w:val="0"/>
              <w:spacing w:before="0" w:after="283"/>
              <w:jc w:val="both"/>
              <w:rPr/>
            </w:pPr>
            <w:r>
              <w:rPr/>
              <w:t> </w:t>
            </w:r>
          </w:p>
        </w:tc>
      </w:tr>
    </w:tbl>
    <w:tbl>
      <w:tblPr>
        <w:tblW w:w="9460" w:type="dxa"/>
        <w:jc w:val="left"/>
        <w:tblInd w:w="0" w:type="dxa"/>
        <w:tblLayout w:type="fixed"/>
        <w:tblCellMar>
          <w:top w:w="0" w:type="dxa"/>
          <w:left w:w="0" w:type="dxa"/>
          <w:bottom w:w="0" w:type="dxa"/>
          <w:right w:w="0" w:type="dxa"/>
        </w:tblCellMar>
      </w:tblPr>
      <w:tblGrid>
        <w:gridCol w:w="75"/>
        <w:gridCol w:w="290"/>
        <w:gridCol w:w="9095"/>
      </w:tblGrid>
      <w:tr>
        <w:trPr/>
        <w:tc>
          <w:tcPr>
            <w:tcW w:w="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9095" w:type="dxa"/>
            <w:tcBorders/>
            <w:vAlign w:val="center"/>
          </w:tcPr>
          <w:p>
            <w:pPr>
              <w:pStyle w:val="TableContents"/>
              <w:bidi w:val="0"/>
              <w:spacing w:before="0" w:after="283"/>
              <w:jc w:val="both"/>
              <w:rPr/>
            </w:pPr>
            <w:r>
              <w:rPr/>
              <w:t>In the case of an individual, Transfers to any Affiliates or family members of the Securityholder;</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342"/>
        <w:gridCol w:w="9788"/>
      </w:tblGrid>
      <w:tr>
        <w:trPr/>
        <w:tc>
          <w:tcPr>
            <w:tcW w:w="7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(iii)</w:t>
            </w:r>
          </w:p>
        </w:tc>
        <w:tc>
          <w:tcPr>
            <w:tcW w:w="9788" w:type="dxa"/>
            <w:tcBorders/>
            <w:vAlign w:val="center"/>
          </w:tcPr>
          <w:p>
            <w:pPr>
              <w:pStyle w:val="TableContents"/>
              <w:bidi w:val="0"/>
              <w:spacing w:before="0" w:after="283"/>
              <w:jc w:val="both"/>
              <w:rPr/>
            </w:pPr>
            <w:r>
              <w:rPr/>
              <w:t>Transfers to any investment funds or vehicles controlled or managed by the Securityholder or any of its Affiliates;</w:t>
            </w:r>
          </w:p>
        </w:tc>
      </w:tr>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9788"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323"/>
        <w:gridCol w:w="9807"/>
      </w:tblGrid>
      <w:tr>
        <w:trPr/>
        <w:tc>
          <w:tcPr>
            <w:tcW w:w="7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(iv)</w:t>
            </w:r>
          </w:p>
        </w:tc>
        <w:tc>
          <w:tcPr>
            <w:tcW w:w="9807" w:type="dxa"/>
            <w:tcBorders/>
            <w:vAlign w:val="center"/>
          </w:tcPr>
          <w:p>
            <w:pPr>
              <w:pStyle w:val="TableContents"/>
              <w:bidi w:val="0"/>
              <w:spacing w:before="0" w:after="283"/>
              <w:jc w:val="both"/>
              <w:rPr/>
            </w:pPr>
            <w:r>
              <w:rPr/>
              <w:t xml:space="preserve">Transfers by gift to a trust, the beneficiary of which is a Person to whom a Transfer would be permitted under </w:t>
            </w:r>
            <w:r>
              <w:rPr>
                <w:u w:val="single"/>
              </w:rPr>
              <w:t>Section (i)</w:t>
            </w:r>
            <w:r>
              <w:rPr/>
              <w:t>, or to a charitable organization;</w:t>
            </w:r>
          </w:p>
        </w:tc>
      </w:tr>
      <w:tr>
        <w:trPr/>
        <w:tc>
          <w:tcPr>
            <w:tcW w:w="75"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9807"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(v)</w:t>
            </w:r>
          </w:p>
        </w:tc>
        <w:tc>
          <w:tcPr>
            <w:tcW w:w="9847" w:type="dxa"/>
            <w:tcBorders/>
            <w:vAlign w:val="center"/>
          </w:tcPr>
          <w:p>
            <w:pPr>
              <w:pStyle w:val="TableContents"/>
              <w:bidi w:val="0"/>
              <w:spacing w:before="0" w:after="283"/>
              <w:jc w:val="both"/>
              <w:rPr/>
            </w:pPr>
            <w:r>
              <w:rPr/>
              <w:t>in the case of an individual, Transfers by virtue of laws of descent and distribution upon death of such individual;</w:t>
            </w:r>
          </w:p>
        </w:tc>
      </w:tr>
      <w:tr>
        <w:trPr/>
        <w:tc>
          <w:tcPr>
            <w:tcW w:w="7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9847" w:type="dxa"/>
            <w:tcBorders/>
            <w:vAlign w:val="center"/>
          </w:tcPr>
          <w:p>
            <w:pPr>
              <w:pStyle w:val="TableContents"/>
              <w:bidi w:val="0"/>
              <w:spacing w:before="0" w:after="283"/>
              <w:jc w:val="both"/>
              <w:rPr/>
            </w:pPr>
            <w:r>
              <w:rPr/>
              <w:t> </w:t>
            </w:r>
          </w:p>
        </w:tc>
      </w:tr>
    </w:tbl>
    <w:tbl>
      <w:tblPr>
        <w:tblW w:w="8493" w:type="dxa"/>
        <w:jc w:val="left"/>
        <w:tblInd w:w="0" w:type="dxa"/>
        <w:tblLayout w:type="fixed"/>
        <w:tblCellMar>
          <w:top w:w="0" w:type="dxa"/>
          <w:left w:w="0" w:type="dxa"/>
          <w:bottom w:w="0" w:type="dxa"/>
          <w:right w:w="0" w:type="dxa"/>
        </w:tblCellMar>
      </w:tblPr>
      <w:tblGrid>
        <w:gridCol w:w="38"/>
        <w:gridCol w:w="35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(vi)</w:t>
            </w:r>
          </w:p>
        </w:tc>
        <w:tc>
          <w:tcPr>
            <w:tcW w:w="8105" w:type="dxa"/>
            <w:tcBorders/>
            <w:vAlign w:val="center"/>
          </w:tcPr>
          <w:p>
            <w:pPr>
              <w:pStyle w:val="TableContents"/>
              <w:bidi w:val="0"/>
              <w:spacing w:before="0" w:after="283"/>
              <w:jc w:val="both"/>
              <w:rPr/>
            </w:pPr>
            <w:r>
              <w:rPr/>
              <w:t>in the case of an individual, Transfers pursuant to a qualified domestic relations order;</w:t>
            </w:r>
          </w:p>
        </w:tc>
      </w:tr>
    </w:tbl>
    <w:p>
      <w:pPr>
        <w:pStyle w:val="TextBody"/>
        <w:bidi w:val="0"/>
        <w:spacing w:before="0" w:after="0"/>
        <w:ind w:left="2879"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60"/>
        <w:gridCol w:w="9770"/>
      </w:tblGrid>
      <w:tr>
        <w:trPr/>
        <w:tc>
          <w:tcPr>
            <w:tcW w:w="7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(vii)</w:t>
            </w:r>
          </w:p>
        </w:tc>
        <w:tc>
          <w:tcPr>
            <w:tcW w:w="9770" w:type="dxa"/>
            <w:tcBorders/>
            <w:vAlign w:val="center"/>
          </w:tcPr>
          <w:p>
            <w:pPr>
              <w:pStyle w:val="TableContents"/>
              <w:bidi w:val="0"/>
              <w:spacing w:before="0" w:after="283"/>
              <w:jc w:val="both"/>
              <w:rPr/>
            </w:pPr>
            <w:r>
              <w:rPr/>
              <w:t>in the case of an individual, Transfers to a partnership, limited liability company or other entity of which the Securityholder and/or the Affiliates or family members of the Securityholder are the legal and beneficial owner of all of the outstanding equity securities or similar interests;</w:t>
            </w:r>
          </w:p>
        </w:tc>
      </w:tr>
      <w:tr>
        <w:trPr/>
        <w:tc>
          <w:tcPr>
            <w:tcW w:w="75"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467"/>
        <w:gridCol w:w="9700"/>
      </w:tblGrid>
      <w:tr>
        <w:trPr/>
        <w:tc>
          <w:tcPr>
            <w:tcW w:w="3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(viii)</w:t>
            </w:r>
          </w:p>
        </w:tc>
        <w:tc>
          <w:tcPr>
            <w:tcW w:w="9700" w:type="dxa"/>
            <w:tcBorders/>
            <w:vAlign w:val="center"/>
          </w:tcPr>
          <w:p>
            <w:pPr>
              <w:pStyle w:val="TableContents"/>
              <w:bidi w:val="0"/>
              <w:spacing w:before="0" w:after="283"/>
              <w:jc w:val="both"/>
              <w:rPr/>
            </w:pPr>
            <w:r>
              <w:rPr/>
              <w:t xml:space="preserve">Transfers to a nominee or custodian of a Person to whom a Transfer would be permitted under </w:t>
            </w:r>
            <w:r>
              <w:rPr>
                <w:u w:val="single"/>
              </w:rPr>
              <w:t>Section (i);</w:t>
            </w:r>
          </w:p>
        </w:tc>
      </w:tr>
    </w:tbl>
    <w:p>
      <w:pPr>
        <w:pStyle w:val="TextBody"/>
        <w:bidi w:val="0"/>
        <w:spacing w:before="0" w:after="0"/>
        <w:ind w:left="2879" w:right="0" w:hanging="719"/>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350"/>
        <w:gridCol w:w="6140"/>
      </w:tblGrid>
      <w:tr>
        <w:trPr/>
        <w:tc>
          <w:tcPr>
            <w:tcW w:w="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(ix)</w:t>
            </w:r>
          </w:p>
        </w:tc>
        <w:tc>
          <w:tcPr>
            <w:tcW w:w="6140" w:type="dxa"/>
            <w:tcBorders/>
            <w:vAlign w:val="center"/>
          </w:tcPr>
          <w:p>
            <w:pPr>
              <w:pStyle w:val="TableContents"/>
              <w:bidi w:val="0"/>
              <w:spacing w:before="0" w:after="283"/>
              <w:jc w:val="left"/>
              <w:rPr/>
            </w:pPr>
            <w:r>
              <w:rPr/>
              <w:t>Transfers in connection with any legal, regulatory or other order;</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(x)</w:t>
            </w:r>
          </w:p>
        </w:tc>
        <w:tc>
          <w:tcPr>
            <w:tcW w:w="9893" w:type="dxa"/>
            <w:tcBorders/>
            <w:vAlign w:val="center"/>
          </w:tcPr>
          <w:p>
            <w:pPr>
              <w:pStyle w:val="TableContents"/>
              <w:bidi w:val="0"/>
              <w:spacing w:before="0" w:after="283"/>
              <w:jc w:val="both"/>
              <w:rPr/>
            </w:pPr>
            <w:r>
              <w:rPr/>
              <w:t>in the case of an entity that is a trust, Transfers to a trustor or beneficiary of the trust or to the estate of a beneficiary of such trust;</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32"/>
        <w:gridCol w:w="9798"/>
      </w:tblGrid>
      <w:tr>
        <w:trPr/>
        <w:tc>
          <w:tcPr>
            <w:tcW w:w="7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(xi)</w:t>
            </w:r>
          </w:p>
        </w:tc>
        <w:tc>
          <w:tcPr>
            <w:tcW w:w="9798" w:type="dxa"/>
            <w:tcBorders/>
            <w:vAlign w:val="center"/>
          </w:tcPr>
          <w:p>
            <w:pPr>
              <w:pStyle w:val="TableContents"/>
              <w:bidi w:val="0"/>
              <w:spacing w:before="0" w:after="283"/>
              <w:jc w:val="both"/>
              <w:rPr/>
            </w:pPr>
            <w:r>
              <w:rPr/>
              <w:t>in the case of an entity, Transfers as part of a distribution to members, partners, shareholders or equityholders of the Securityholder;</w:t>
            </w:r>
          </w:p>
        </w:tc>
      </w:tr>
      <w:tr>
        <w:trPr/>
        <w:tc>
          <w:tcPr>
            <w:tcW w:w="75"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9798"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379"/>
        <w:gridCol w:w="9788"/>
      </w:tblGrid>
      <w:tr>
        <w:trPr/>
        <w:tc>
          <w:tcPr>
            <w:tcW w:w="3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(xii)</w:t>
            </w:r>
          </w:p>
        </w:tc>
        <w:tc>
          <w:tcPr>
            <w:tcW w:w="9788" w:type="dxa"/>
            <w:tcBorders/>
            <w:vAlign w:val="center"/>
          </w:tcPr>
          <w:p>
            <w:pPr>
              <w:pStyle w:val="TableContents"/>
              <w:bidi w:val="0"/>
              <w:spacing w:before="0" w:after="283"/>
              <w:jc w:val="both"/>
              <w:rPr/>
            </w:pPr>
            <w:r>
              <w:rPr/>
              <w:t>in the case of an entity, Transfers by virtue of the laws of the state of the entity’s organization and the entity’s organizational documents upon dissolution of the entity;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04"/>
        <w:gridCol w:w="9726"/>
      </w:tblGrid>
      <w:tr>
        <w:trPr/>
        <w:tc>
          <w:tcPr>
            <w:tcW w:w="7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t>(xiii)</w:t>
            </w:r>
          </w:p>
        </w:tc>
        <w:tc>
          <w:tcPr>
            <w:tcW w:w="9726" w:type="dxa"/>
            <w:tcBorders/>
            <w:vAlign w:val="center"/>
          </w:tcPr>
          <w:p>
            <w:pPr>
              <w:pStyle w:val="TableContents"/>
              <w:bidi w:val="0"/>
              <w:spacing w:before="0" w:after="283"/>
              <w:jc w:val="both"/>
              <w:rPr/>
            </w:pPr>
            <w:r>
              <w:rPr/>
              <w:t>the exercise of stock options or warrants to purchase shares of Common Stock or the vesting of stock awards relating to shares of Common Stock and any related Transfer of shares of Common Stock in connection therewith (x) deemed to occur upon the “cashless” or “net” exercise of such options or warrants or (y) for the purpose of paying the exercise price of such options or warrants or for paying taxes due as a result of the exercise of such options or warrants, the vesting of such options or stock awards, or as a result of the vesting of such shares of Common Stock, it being understood that all shares of Common Stock received upon such exercise, vesting or transfer will remain subject to the restrictions of this Agreement during the Lock-Up Period;</w:t>
            </w:r>
          </w:p>
        </w:tc>
      </w:tr>
      <w:tr>
        <w:trPr/>
        <w:tc>
          <w:tcPr>
            <w:tcW w:w="75"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412"/>
        <w:gridCol w:w="9718"/>
      </w:tblGrid>
      <w:tr>
        <w:trPr/>
        <w:tc>
          <w:tcPr>
            <w:tcW w:w="7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(xiv)</w:t>
            </w:r>
          </w:p>
        </w:tc>
        <w:tc>
          <w:tcPr>
            <w:tcW w:w="9718" w:type="dxa"/>
            <w:tcBorders/>
            <w:vAlign w:val="center"/>
          </w:tcPr>
          <w:p>
            <w:pPr>
              <w:pStyle w:val="TableContents"/>
              <w:bidi w:val="0"/>
              <w:spacing w:before="0" w:after="283"/>
              <w:jc w:val="both"/>
              <w:rPr/>
            </w:pPr>
            <w:r>
              <w:rPr/>
              <w:t>Transfers to the Company pursuant to any contractual arrangement in effect upon the consummation of the Business Combination that provides for the repurchase by the Company or forfeiture of Common Stock or other securities convertible into, or exercisable, redeemable or exchangeable for, Common Stock in connection with the termination of the Securityholder’s service to the Company;</w:t>
            </w:r>
          </w:p>
        </w:tc>
      </w:tr>
      <w:tr>
        <w:trPr/>
        <w:tc>
          <w:tcPr>
            <w:tcW w:w="75"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9718"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347"/>
        <w:gridCol w:w="9820"/>
      </w:tblGrid>
      <w:tr>
        <w:trPr/>
        <w:tc>
          <w:tcPr>
            <w:tcW w:w="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(xv)</w:t>
            </w:r>
          </w:p>
        </w:tc>
        <w:tc>
          <w:tcPr>
            <w:tcW w:w="9820" w:type="dxa"/>
            <w:tcBorders/>
            <w:vAlign w:val="center"/>
          </w:tcPr>
          <w:p>
            <w:pPr>
              <w:pStyle w:val="TableContents"/>
              <w:bidi w:val="0"/>
              <w:spacing w:before="0" w:after="283"/>
              <w:jc w:val="both"/>
              <w:rPr/>
            </w:pPr>
            <w:r>
              <w:rPr/>
              <w:t xml:space="preserve">the entry, by the Securityholder, at any time after the consummation of the Business Combination, of any trading plan providing for the sale of shares of Common Stock by the Securityholder, which trading plan meets the requirements of Rule 10b5-1(c) under the Exchange Act; </w:t>
            </w:r>
            <w:r>
              <w:rPr>
                <w:i/>
              </w:rPr>
              <w:t>provided</w:t>
            </w:r>
            <w:r>
              <w:rPr/>
              <w:t xml:space="preserve">, </w:t>
            </w:r>
            <w:r>
              <w:rPr>
                <w:i/>
              </w:rPr>
              <w:t>however</w:t>
            </w:r>
            <w:r>
              <w:rPr/>
              <w:t>, that such plan does not provide for, or permit, the sale of any shares of Common Stock during the Lock-Up Period and no public announcement or filing is voluntarily made or required regarding such plan during the Lock-Up Period;</w:t>
            </w:r>
          </w:p>
        </w:tc>
      </w:tr>
    </w:tbl>
    <w:p>
      <w:pPr>
        <w:pStyle w:val="TextBody"/>
        <w:bidi w:val="0"/>
        <w:spacing w:before="0" w:after="0"/>
        <w:ind w:left="2879"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0"/>
        <w:gridCol w:w="9747"/>
      </w:tblGrid>
      <w:tr>
        <w:trPr/>
        <w:tc>
          <w:tcPr>
            <w:tcW w:w="3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pPr>
            <w:r>
              <w:rPr/>
              <w:t>(xvi)</w:t>
            </w:r>
          </w:p>
        </w:tc>
        <w:tc>
          <w:tcPr>
            <w:tcW w:w="9747" w:type="dxa"/>
            <w:tcBorders/>
            <w:vAlign w:val="center"/>
          </w:tcPr>
          <w:p>
            <w:pPr>
              <w:pStyle w:val="TableContents"/>
              <w:bidi w:val="0"/>
              <w:spacing w:before="0" w:after="283"/>
              <w:jc w:val="both"/>
              <w:rPr/>
            </w:pPr>
            <w:r>
              <w:rPr/>
              <w:t>Transfers in the event of the completion of a liquidation, merger, stock exchange, reorganization or other similar transaction that results in all of the Company’s securityholders having the right to exchange their shares of Common Stock for cash, securities or other property; and</w:t>
            </w:r>
          </w:p>
        </w:tc>
      </w:tr>
    </w:tbl>
    <w:p>
      <w:pPr>
        <w:pStyle w:val="TextBody"/>
        <w:bidi w:val="0"/>
        <w:spacing w:before="0" w:after="0"/>
        <w:ind w:left="2879"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9"/>
        <w:gridCol w:w="9698"/>
      </w:tblGrid>
      <w:tr>
        <w:trPr/>
        <w:tc>
          <w:tcPr>
            <w:tcW w:w="3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pPr>
            <w:r>
              <w:rPr/>
              <w:t>(xvii)</w:t>
            </w:r>
          </w:p>
        </w:tc>
        <w:tc>
          <w:tcPr>
            <w:tcW w:w="9698" w:type="dxa"/>
            <w:tcBorders/>
            <w:vAlign w:val="center"/>
          </w:tcPr>
          <w:p>
            <w:pPr>
              <w:pStyle w:val="TableContents"/>
              <w:bidi w:val="0"/>
              <w:spacing w:before="0" w:after="283"/>
              <w:jc w:val="both"/>
              <w:rPr/>
            </w:pPr>
            <w:r>
              <w:rPr/>
              <w:t>Transfers to satisfy any U.S. federal, state, or local income tax obligations of a Securityholder (or its direct or indirect owners) arising from such Securityholder’s ownership (including prior to and after the Business Combination) of the Lock-Up Shares or any interests in Legacy Merlin, in each case solely and to the extent necessary to cover any tax liability as a direct result of such ownership of the Lock-Up Shares or any interests in Legacy Merlin.</w:t>
            </w:r>
          </w:p>
        </w:tc>
      </w:tr>
    </w:tbl>
    <w:p>
      <w:pPr>
        <w:pStyle w:val="TextBody"/>
        <w:bidi w:val="0"/>
        <w:spacing w:before="0" w:after="0"/>
        <w:ind w:left="143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in the case of clauses (i) through (xi), as a prerequisite to such Transfer, such permitted transferee(s) must enter into joinder to this Agreement,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in order to become a “Securityholder” for purposes of this Agreement. For purposes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“immediate family” shall mean a spouse, domestic partner, child (including by adoption), father, mother, brother or sister of the Securityholder, and lineal descendant (including by adoption) of the Securityholder or of any of the foregoing persons.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Agreement shall terminate upon the earlier of (i) the expiration of the Lock-Up Period, (ii) the closing of a merger, liquidation, stock exchange, reorganization or other similar transaction after the date hereof that results in all of the public stockholders of the Company having the right to exchange their shares of Common Stock for cash securities or other property and (iii) the liquidation of the Company.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Prohibited Transfers</w:t>
      </w:r>
      <w:r>
        <w:rPr>
          <w:rFonts w:ascii="Times New Roman;Times;Serif" w:hAnsi="Times New Roman;Times;Serif"/>
          <w:b w:val="false"/>
          <w:i w:val="false"/>
          <w:caps w:val="false"/>
          <w:smallCaps w:val="false"/>
          <w:sz w:val="20"/>
        </w:rPr>
        <w:t>. In furtherance of the foregoing, the Company, and any duly appointed transfer agent for the registration or transfer of the securities described therein, are hereby authorized to decline to make any transfer of securities if such transfer would constitute a violation or breach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This Agreement may be amended, supplemented or modified only by execution of a written instrument signed by the Company and the Securityholders holding a majority of the aggregate number of shares of Common Stock then held by all Securityholders as to which this Agreement has not been terminated, executed in the same manner as this Agreement and which makes reference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This Agreement and the documents or instruments referred to herein embody the entire agreement and understanding of the parties hereto in respect of the subject matter contained herein. There are no restrictions, promises, representations, warranties, covenants or undertakings, other than those expressly set forth or referred to herein or the documents or instruments referred to herein, which collectively supersede all prior agreements and the understandings among the parties hereto with respect to the subject matter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Binding Effect; Assignment</w:t>
      </w:r>
      <w:r>
        <w:rPr>
          <w:rFonts w:ascii="Times New Roman;Times;Serif" w:hAnsi="Times New Roman;Times;Serif"/>
          <w:b w:val="false"/>
          <w:i w:val="false"/>
          <w:caps w:val="false"/>
          <w:smallCaps w:val="false"/>
          <w:sz w:val="20"/>
        </w:rPr>
        <w:t xml:space="preserve">. This Agreement and all of the provisions hereof shall be binding upon and inure to the benefit of the parties hereto and their respective successors and permitted assigns. This Agreement shall not be assigned by operation of Law or otherwise without the prior written consent of the parties hereto, and any assignment without such consent shall be null and void;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assignment shall relieve the assigning party of its obligations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caps w:val="false"/>
          <w:smallCaps w:val="false"/>
          <w:sz w:val="20"/>
        </w:rPr>
        <w:t>Jurisdiction</w:t>
      </w:r>
      <w:r>
        <w:rPr>
          <w:rFonts w:ascii="Times New Roman;Times;Serif" w:hAnsi="Times New Roman;Times;Serif"/>
          <w:b w:val="false"/>
          <w:i w:val="false"/>
          <w:caps w:val="false"/>
          <w:smallCaps w:val="false"/>
          <w:sz w:val="20"/>
        </w:rPr>
        <w:t xml:space="preserve">. Any Legal Proceeding based upon, arising out of or related to this Agreement or the transactions contemplated hereby must be brought in the Court of Chancery of the State of Delaware (or, to the extent such court does not have jurisdiction, in the United States District Court for the District of Delaware and to the extent such court does not have subject matter jurisdiction, the Superior Court of the State of Delaware), and each of the parties irrevocably (i) submits to the exclusive jurisdiction of each such court in any such Legal Proceeding, (ii) waives any objection it may now or hereafter have to personal jurisdiction, venue or to convenience of forum, (iii) agrees that all claims in respect of the Legal Proceeding shall be heard and determined only in any such court, and (iv) agrees not to bring any Legal Proceeding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Legal Proceeding, suit or proceeding brought pursuant to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PARTY ACKNOWLEDGES AND AGREES THAT ANY CONTROVERSY WHICH MAY ARISE UNDER THIS AGREEMENT AND THE TRANSACTIONS CONTEMPLATED HEREBY IS LIKELY TO INVOLVE COMPLICATED AND DIFFICULT ISSUES, AND THEREFORE EACH SUCH PARTY HEREBY IRREVOCABLY, UNCONDITIONALLY AND VOLUNTARILY WAIVES ANY RIGHT SUCH PARTY MAY HAVE TO A TRIAL BY JURY IN RESPECT OF ANY ACTION, SUIT OR PROCEEDING DIRECTLY OR INDIRECTLY ARISING OUT OF OR RELATING TO THIS AGREEMENT OR ANY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(and any joinder to this Agreement) may be executed and delivered (including by facsimile or other electronic transmission) in one or more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In case any provision in this Agreement shall be held invalid, illegal or unenforceable in a jurisdiction, such 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caps w:val="false"/>
          <w:smallCaps w:val="false"/>
          <w:sz w:val="20"/>
        </w:rPr>
        <w:t>Liability</w:t>
      </w:r>
      <w:r>
        <w:rPr>
          <w:rFonts w:ascii="Times New Roman;Times;Serif" w:hAnsi="Times New Roman;Times;Serif"/>
          <w:b w:val="false"/>
          <w:i w:val="false"/>
          <w:caps w:val="false"/>
          <w:smallCaps w:val="false"/>
          <w:sz w:val="20"/>
        </w:rPr>
        <w:t>. The liability of any Securityholder hereunder is several (and not joint). Notwithstanding any other provision of this Agreement, in no event will any Securityholder be liable for any other Securityholder’s breach of such other Securityholder’s obligations under this Agreement.</w:t>
      </w:r>
    </w:p>
    <w:p>
      <w:pPr>
        <w:pStyle w:val="TextBody"/>
        <w:bidi w:val="0"/>
        <w:spacing w:before="0" w:after="0"/>
        <w:ind w:left="3997"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MERLIN, INC.</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Matthew George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Matthew George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 –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MERLIN, INC.</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Matthew George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Matthew George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 – Merlin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5760" w:right="0" w:hanging="0"/>
        <w:jc w:val="left"/>
        <w:rPr>
          <w:caps w:val="false"/>
          <w:smallCaps w:val="false"/>
        </w:rPr>
      </w:pPr>
      <w:r>
        <w:rPr>
          <w:caps w:val="false"/>
          <w:smallCaps w:val="false"/>
        </w:rPr>
        <w:t> </w:t>
      </w:r>
    </w:p>
    <w:tbl>
      <w:tblPr>
        <w:tblW w:w="5044" w:type="dxa"/>
        <w:jc w:val="left"/>
        <w:tblInd w:w="0" w:type="dxa"/>
        <w:tblLayout w:type="fixed"/>
        <w:tblCellMar>
          <w:top w:w="0" w:type="dxa"/>
          <w:left w:w="0" w:type="dxa"/>
          <w:bottom w:w="0" w:type="dxa"/>
          <w:right w:w="0" w:type="dxa"/>
        </w:tblCellMar>
      </w:tblPr>
      <w:tblGrid>
        <w:gridCol w:w="75"/>
        <w:gridCol w:w="682"/>
        <w:gridCol w:w="4287"/>
      </w:tblGrid>
      <w:tr>
        <w:trPr/>
        <w:tc>
          <w:tcPr>
            <w:tcW w:w="75" w:type="dxa"/>
            <w:tcBorders/>
            <w:vAlign w:val="center"/>
          </w:tcPr>
          <w:p>
            <w:pPr>
              <w:pStyle w:val="TableContents"/>
              <w:bidi w:val="0"/>
              <w:spacing w:before="0" w:after="283"/>
              <w:jc w:val="left"/>
              <w:rPr/>
            </w:pPr>
            <w:r>
              <w:rPr/>
              <w:t> </w:t>
            </w:r>
          </w:p>
        </w:tc>
        <w:tc>
          <w:tcPr>
            <w:tcW w:w="4969"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49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69" w:type="dxa"/>
            <w:gridSpan w:val="2"/>
            <w:tcBorders/>
            <w:vAlign w:val="center"/>
          </w:tcPr>
          <w:p>
            <w:pPr>
              <w:pStyle w:val="TableContents"/>
              <w:bidi w:val="0"/>
              <w:spacing w:before="0" w:after="283"/>
              <w:jc w:val="left"/>
              <w:rPr>
                <w:b/>
              </w:rPr>
            </w:pPr>
            <w:r>
              <w:rPr>
                <w:b/>
              </w:rPr>
              <w:t>AHOY CAPITAL SPINNAKER FUND II, L.P.</w:t>
            </w:r>
          </w:p>
        </w:tc>
      </w:tr>
      <w:tr>
        <w:trPr/>
        <w:tc>
          <w:tcPr>
            <w:tcW w:w="75" w:type="dxa"/>
            <w:tcBorders/>
            <w:vAlign w:val="center"/>
          </w:tcPr>
          <w:p>
            <w:pPr>
              <w:pStyle w:val="TableContents"/>
              <w:bidi w:val="0"/>
              <w:spacing w:before="0" w:after="283"/>
              <w:jc w:val="left"/>
              <w:rPr/>
            </w:pPr>
            <w:r>
              <w:rPr/>
              <w:t> </w:t>
            </w:r>
          </w:p>
        </w:tc>
        <w:tc>
          <w:tcPr>
            <w:tcW w:w="49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By:</w:t>
            </w:r>
          </w:p>
        </w:tc>
        <w:tc>
          <w:tcPr>
            <w:tcW w:w="4287" w:type="dxa"/>
            <w:tcBorders>
              <w:bottom w:val="single" w:sz="12" w:space="0" w:color="000000"/>
            </w:tcBorders>
            <w:tcMar>
              <w:bottom w:w="28" w:type="dxa"/>
            </w:tcMar>
            <w:vAlign w:val="center"/>
          </w:tcPr>
          <w:p>
            <w:pPr>
              <w:pStyle w:val="TableContents"/>
              <w:bidi w:val="0"/>
              <w:spacing w:before="0" w:after="283"/>
              <w:jc w:val="left"/>
              <w:rPr/>
            </w:pPr>
            <w:r>
              <w:rPr/>
              <w:t>/s/ Amy Zengo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Name:</w:t>
            </w:r>
          </w:p>
        </w:tc>
        <w:tc>
          <w:tcPr>
            <w:tcW w:w="4287" w:type="dxa"/>
            <w:tcBorders/>
            <w:vAlign w:val="center"/>
          </w:tcPr>
          <w:p>
            <w:pPr>
              <w:pStyle w:val="TableContents"/>
              <w:bidi w:val="0"/>
              <w:spacing w:before="0" w:after="283"/>
              <w:jc w:val="left"/>
              <w:rPr/>
            </w:pPr>
            <w:r>
              <w:rPr/>
              <w:t>Amy Zengo</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Title:</w:t>
            </w:r>
          </w:p>
        </w:tc>
        <w:tc>
          <w:tcPr>
            <w:tcW w:w="4287" w:type="dxa"/>
            <w:tcBorders/>
            <w:vAlign w:val="center"/>
          </w:tcPr>
          <w:p>
            <w:pPr>
              <w:pStyle w:val="TableContents"/>
              <w:bidi w:val="0"/>
              <w:spacing w:before="0" w:after="283"/>
              <w:jc w:val="left"/>
              <w:rPr/>
            </w:pPr>
            <w:r>
              <w:rPr/>
              <w:t>Chief Operating Officer &amp; General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650"/>
        <w:gridCol w:w="4415"/>
      </w:tblGrid>
      <w:tr>
        <w:trPr/>
        <w:tc>
          <w:tcPr>
            <w:tcW w:w="75" w:type="dxa"/>
            <w:tcBorders/>
            <w:vAlign w:val="center"/>
          </w:tcPr>
          <w:p>
            <w:pPr>
              <w:pStyle w:val="TableContents"/>
              <w:bidi w:val="0"/>
              <w:spacing w:before="0" w:after="283"/>
              <w:jc w:val="left"/>
              <w:rPr/>
            </w:pPr>
            <w:r>
              <w:rPr/>
              <w:t> </w:t>
            </w:r>
          </w:p>
        </w:tc>
        <w:tc>
          <w:tcPr>
            <w:tcW w:w="5065"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50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5" w:type="dxa"/>
            <w:gridSpan w:val="2"/>
            <w:tcBorders/>
            <w:vAlign w:val="center"/>
          </w:tcPr>
          <w:p>
            <w:pPr>
              <w:pStyle w:val="TableContents"/>
              <w:bidi w:val="0"/>
              <w:spacing w:before="0" w:after="283"/>
              <w:jc w:val="left"/>
              <w:rPr>
                <w:b/>
              </w:rPr>
            </w:pPr>
            <w:r>
              <w:rPr>
                <w:b/>
              </w:rPr>
              <w:t>MFCIF LLC</w:t>
            </w:r>
          </w:p>
        </w:tc>
      </w:tr>
      <w:tr>
        <w:trPr/>
        <w:tc>
          <w:tcPr>
            <w:tcW w:w="75" w:type="dxa"/>
            <w:tcBorders/>
            <w:vAlign w:val="center"/>
          </w:tcPr>
          <w:p>
            <w:pPr>
              <w:pStyle w:val="TableContents"/>
              <w:bidi w:val="0"/>
              <w:spacing w:before="0" w:after="283"/>
              <w:jc w:val="left"/>
              <w:rPr/>
            </w:pPr>
            <w:r>
              <w:rPr/>
              <w:t> </w:t>
            </w:r>
          </w:p>
        </w:tc>
        <w:tc>
          <w:tcPr>
            <w:tcW w:w="50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415" w:type="dxa"/>
            <w:tcBorders>
              <w:bottom w:val="single" w:sz="12" w:space="0" w:color="000000"/>
            </w:tcBorders>
            <w:tcMar>
              <w:bottom w:w="28" w:type="dxa"/>
            </w:tcMar>
            <w:vAlign w:val="center"/>
          </w:tcPr>
          <w:p>
            <w:pPr>
              <w:pStyle w:val="TableContents"/>
              <w:bidi w:val="0"/>
              <w:spacing w:before="0" w:after="283"/>
              <w:jc w:val="left"/>
              <w:rPr/>
            </w:pPr>
            <w:r>
              <w:rPr/>
              <w:t>/s/ Howard Morgan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415" w:type="dxa"/>
            <w:tcBorders/>
            <w:vAlign w:val="center"/>
          </w:tcPr>
          <w:p>
            <w:pPr>
              <w:pStyle w:val="TableContents"/>
              <w:bidi w:val="0"/>
              <w:spacing w:before="0" w:after="283"/>
              <w:jc w:val="left"/>
              <w:rPr/>
            </w:pPr>
            <w:r>
              <w:rPr/>
              <w:t>Howard Morgan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415" w:type="dxa"/>
            <w:tcBorders/>
            <w:vAlign w:val="center"/>
          </w:tcPr>
          <w:p>
            <w:pPr>
              <w:pStyle w:val="TableContents"/>
              <w:bidi w:val="0"/>
              <w:spacing w:before="0" w:after="283"/>
              <w:jc w:val="left"/>
              <w:rPr/>
            </w:pPr>
            <w:r>
              <w:rPr/>
              <w:t>Managing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365"/>
        <w:gridCol w:w="4610"/>
      </w:tblGrid>
      <w:tr>
        <w:trPr/>
        <w:tc>
          <w:tcPr>
            <w:tcW w:w="7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b/>
              </w:rPr>
            </w:pPr>
            <w:r>
              <w:rPr>
                <w:b/>
              </w:rPr>
              <w:t>BLING CAPITAL FUND I-A LP</w:t>
            </w:r>
          </w:p>
        </w:tc>
      </w:tr>
      <w:tr>
        <w:trPr/>
        <w:tc>
          <w:tcPr>
            <w:tcW w:w="7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610" w:type="dxa"/>
            <w:tcBorders/>
            <w:vAlign w:val="center"/>
          </w:tcPr>
          <w:p>
            <w:pPr>
              <w:pStyle w:val="TableContents"/>
              <w:bidi w:val="0"/>
              <w:spacing w:before="0" w:after="283"/>
              <w:jc w:val="left"/>
              <w:rPr/>
            </w:pPr>
            <w:r>
              <w:rPr/>
              <w:t>Bling Capital GP I LLC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Its:</w:t>
            </w:r>
          </w:p>
        </w:tc>
        <w:tc>
          <w:tcPr>
            <w:tcW w:w="4610" w:type="dxa"/>
            <w:tcBorders/>
            <w:vAlign w:val="center"/>
          </w:tcPr>
          <w:p>
            <w:pPr>
              <w:pStyle w:val="TableContents"/>
              <w:bidi w:val="0"/>
              <w:spacing w:before="0" w:after="283"/>
              <w:jc w:val="left"/>
              <w:rPr/>
            </w:pPr>
            <w:r>
              <w:rPr/>
              <w:t>General Partner</w:t>
            </w:r>
          </w:p>
        </w:tc>
      </w:tr>
    </w:tbl>
    <w:p>
      <w:pPr>
        <w:pStyle w:val="TextBody"/>
        <w:bidi w:val="0"/>
        <w:spacing w:before="0" w:after="0"/>
        <w:ind w:left="576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650"/>
        <w:gridCol w:w="257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570" w:type="dxa"/>
            <w:tcBorders>
              <w:bottom w:val="single" w:sz="12" w:space="0" w:color="000000"/>
            </w:tcBorders>
            <w:tcMar>
              <w:bottom w:w="28" w:type="dxa"/>
            </w:tcMar>
            <w:vAlign w:val="center"/>
          </w:tcPr>
          <w:p>
            <w:pPr>
              <w:pStyle w:val="TableContents"/>
              <w:bidi w:val="0"/>
              <w:spacing w:before="0" w:after="283"/>
              <w:jc w:val="left"/>
              <w:rPr/>
            </w:pPr>
            <w:r>
              <w:rPr/>
              <w:t>/s/ Benjamin Ling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570" w:type="dxa"/>
            <w:tcBorders/>
            <w:vAlign w:val="center"/>
          </w:tcPr>
          <w:p>
            <w:pPr>
              <w:pStyle w:val="TableContents"/>
              <w:bidi w:val="0"/>
              <w:spacing w:before="0" w:after="283"/>
              <w:jc w:val="left"/>
              <w:rPr/>
            </w:pPr>
            <w:r>
              <w:rPr/>
              <w:t>Benjamin Ling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570" w:type="dxa"/>
            <w:tcBorders/>
            <w:vAlign w:val="center"/>
          </w:tcPr>
          <w:p>
            <w:pPr>
              <w:pStyle w:val="TableContents"/>
              <w:bidi w:val="0"/>
              <w:spacing w:before="0" w:after="283"/>
              <w:jc w:val="left"/>
              <w:rPr/>
            </w:pPr>
            <w:r>
              <w:rPr/>
              <w:t>Managing Partner</w:t>
            </w:r>
          </w:p>
        </w:tc>
      </w:tr>
    </w:tbl>
    <w:p>
      <w:pPr>
        <w:pStyle w:val="TextBody"/>
        <w:bidi w:val="0"/>
        <w:spacing w:before="0" w:after="0"/>
        <w:ind w:left="0" w:right="0" w:hanging="0"/>
        <w:jc w:val="left"/>
        <w:rPr>
          <w:caps w:val="false"/>
          <w:smallCaps w:val="false"/>
        </w:rPr>
      </w:pPr>
      <w:r>
        <w:rPr>
          <w:caps w:val="false"/>
          <w:smallCaps w:val="false"/>
        </w:rPr>
        <w:t> </w:t>
      </w:r>
    </w:p>
    <w:tbl>
      <w:tblPr>
        <w:tblW w:w="4354" w:type="dxa"/>
        <w:jc w:val="left"/>
        <w:tblInd w:w="0" w:type="dxa"/>
        <w:tblLayout w:type="fixed"/>
        <w:tblCellMar>
          <w:top w:w="0" w:type="dxa"/>
          <w:left w:w="0" w:type="dxa"/>
          <w:bottom w:w="0" w:type="dxa"/>
          <w:right w:w="0" w:type="dxa"/>
        </w:tblCellMar>
      </w:tblPr>
      <w:tblGrid>
        <w:gridCol w:w="75"/>
        <w:gridCol w:w="401"/>
        <w:gridCol w:w="3878"/>
      </w:tblGrid>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b/>
              </w:rPr>
            </w:pPr>
            <w:r>
              <w:rPr>
                <w:b/>
              </w:rPr>
              <w:t>BLING CAPITAL FUND II OPPS-A LP</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By:</w:t>
            </w:r>
          </w:p>
        </w:tc>
        <w:tc>
          <w:tcPr>
            <w:tcW w:w="3878" w:type="dxa"/>
            <w:tcBorders/>
            <w:vAlign w:val="center"/>
          </w:tcPr>
          <w:p>
            <w:pPr>
              <w:pStyle w:val="TableContents"/>
              <w:bidi w:val="0"/>
              <w:spacing w:before="0" w:after="283"/>
              <w:jc w:val="left"/>
              <w:rPr/>
            </w:pPr>
            <w:r>
              <w:rPr/>
              <w:t>Bling Capital Fund II Opps GP LLC</w:t>
            </w:r>
          </w:p>
        </w:tc>
      </w:tr>
      <w:tr>
        <w:trPr/>
        <w:tc>
          <w:tcPr>
            <w:tcW w:w="7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Its:</w:t>
            </w:r>
          </w:p>
        </w:tc>
        <w:tc>
          <w:tcPr>
            <w:tcW w:w="3878" w:type="dxa"/>
            <w:tcBorders/>
            <w:vAlign w:val="center"/>
          </w:tcPr>
          <w:p>
            <w:pPr>
              <w:pStyle w:val="TableContents"/>
              <w:bidi w:val="0"/>
              <w:spacing w:before="0" w:after="283"/>
              <w:jc w:val="left"/>
              <w:rPr/>
            </w:pPr>
            <w:r>
              <w:rPr/>
              <w:t>General Partner</w:t>
            </w:r>
          </w:p>
        </w:tc>
      </w:tr>
    </w:tbl>
    <w:p>
      <w:pPr>
        <w:pStyle w:val="TextBody"/>
        <w:bidi w:val="0"/>
        <w:spacing w:before="0" w:after="0"/>
        <w:ind w:left="5759"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650"/>
        <w:gridCol w:w="239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90" w:type="dxa"/>
            <w:tcBorders>
              <w:bottom w:val="single" w:sz="12" w:space="0" w:color="000000"/>
            </w:tcBorders>
            <w:tcMar>
              <w:bottom w:w="28" w:type="dxa"/>
            </w:tcMar>
            <w:vAlign w:val="center"/>
          </w:tcPr>
          <w:p>
            <w:pPr>
              <w:pStyle w:val="TableContents"/>
              <w:bidi w:val="0"/>
              <w:spacing w:before="0" w:after="283"/>
              <w:jc w:val="left"/>
              <w:rPr/>
            </w:pPr>
            <w:r>
              <w:rPr/>
              <w:t>/s/ Benjamin Ling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90" w:type="dxa"/>
            <w:tcBorders/>
            <w:vAlign w:val="center"/>
          </w:tcPr>
          <w:p>
            <w:pPr>
              <w:pStyle w:val="TableContents"/>
              <w:bidi w:val="0"/>
              <w:spacing w:before="0" w:after="283"/>
              <w:jc w:val="left"/>
              <w:rPr/>
            </w:pPr>
            <w:r>
              <w:rPr/>
              <w:t>Benjamin Ling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90" w:type="dxa"/>
            <w:tcBorders/>
            <w:vAlign w:val="center"/>
          </w:tcPr>
          <w:p>
            <w:pPr>
              <w:pStyle w:val="TableContents"/>
              <w:bidi w:val="0"/>
              <w:spacing w:before="0" w:after="283"/>
              <w:jc w:val="left"/>
              <w:rPr/>
            </w:pPr>
            <w:r>
              <w:rPr/>
              <w:t>Managing Partner</w:t>
            </w:r>
          </w:p>
        </w:tc>
      </w:tr>
    </w:tbl>
    <w:p>
      <w:pPr>
        <w:pStyle w:val="TextBody"/>
        <w:bidi w:val="0"/>
        <w:spacing w:before="0" w:after="0"/>
        <w:ind w:left="0" w:right="0" w:hanging="0"/>
        <w:jc w:val="left"/>
        <w:rPr>
          <w:caps w:val="false"/>
          <w:smallCaps w:val="false"/>
        </w:rPr>
      </w:pPr>
      <w:r>
        <w:rPr>
          <w:caps w:val="false"/>
          <w:smallCaps w:val="false"/>
        </w:rPr>
        <w:t> </w:t>
      </w:r>
    </w:p>
    <w:tbl>
      <w:tblPr>
        <w:tblW w:w="4099" w:type="dxa"/>
        <w:jc w:val="left"/>
        <w:tblInd w:w="0" w:type="dxa"/>
        <w:tblLayout w:type="fixed"/>
        <w:tblCellMar>
          <w:top w:w="0" w:type="dxa"/>
          <w:left w:w="0" w:type="dxa"/>
          <w:bottom w:w="0" w:type="dxa"/>
          <w:right w:w="0" w:type="dxa"/>
        </w:tblCellMar>
      </w:tblPr>
      <w:tblGrid>
        <w:gridCol w:w="75"/>
        <w:gridCol w:w="377"/>
        <w:gridCol w:w="3647"/>
      </w:tblGrid>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b/>
              </w:rPr>
            </w:pPr>
            <w:r>
              <w:rPr>
                <w:b/>
              </w:rPr>
              <w:t>BLING CAPITAL FUND II OPPS LP</w:t>
            </w:r>
          </w:p>
        </w:tc>
      </w:tr>
      <w:tr>
        <w:trPr/>
        <w:tc>
          <w:tcPr>
            <w:tcW w:w="7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By:</w:t>
            </w:r>
          </w:p>
        </w:tc>
        <w:tc>
          <w:tcPr>
            <w:tcW w:w="3647" w:type="dxa"/>
            <w:tcBorders/>
            <w:vAlign w:val="center"/>
          </w:tcPr>
          <w:p>
            <w:pPr>
              <w:pStyle w:val="TableContents"/>
              <w:bidi w:val="0"/>
              <w:spacing w:before="0" w:after="283"/>
              <w:jc w:val="left"/>
              <w:rPr/>
            </w:pPr>
            <w:r>
              <w:rPr/>
              <w:t>Bling Capital Fund II Opps GP LLC</w:t>
            </w:r>
          </w:p>
        </w:tc>
      </w:tr>
      <w:tr>
        <w:trPr/>
        <w:tc>
          <w:tcPr>
            <w:tcW w:w="7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Its:</w:t>
            </w:r>
          </w:p>
        </w:tc>
        <w:tc>
          <w:tcPr>
            <w:tcW w:w="3647" w:type="dxa"/>
            <w:tcBorders/>
            <w:vAlign w:val="center"/>
          </w:tcPr>
          <w:p>
            <w:pPr>
              <w:pStyle w:val="TableContents"/>
              <w:bidi w:val="0"/>
              <w:spacing w:before="0" w:after="283"/>
              <w:jc w:val="left"/>
              <w:rPr/>
            </w:pPr>
            <w:r>
              <w:rPr/>
              <w:t>General Partner</w:t>
            </w:r>
          </w:p>
        </w:tc>
      </w:tr>
    </w:tbl>
    <w:p>
      <w:pPr>
        <w:pStyle w:val="TextBody"/>
        <w:bidi w:val="0"/>
        <w:spacing w:before="0" w:after="0"/>
        <w:ind w:left="576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75"/>
        <w:gridCol w:w="650"/>
        <w:gridCol w:w="227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270" w:type="dxa"/>
            <w:tcBorders>
              <w:bottom w:val="single" w:sz="12" w:space="0" w:color="000000"/>
            </w:tcBorders>
            <w:tcMar>
              <w:bottom w:w="28" w:type="dxa"/>
            </w:tcMar>
            <w:vAlign w:val="center"/>
          </w:tcPr>
          <w:p>
            <w:pPr>
              <w:pStyle w:val="TableContents"/>
              <w:bidi w:val="0"/>
              <w:spacing w:before="0" w:after="283"/>
              <w:jc w:val="left"/>
              <w:rPr/>
            </w:pPr>
            <w:r>
              <w:rPr/>
              <w:t>/s/ Benjamin Ling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70" w:type="dxa"/>
            <w:tcBorders/>
            <w:vAlign w:val="center"/>
          </w:tcPr>
          <w:p>
            <w:pPr>
              <w:pStyle w:val="TableContents"/>
              <w:bidi w:val="0"/>
              <w:spacing w:before="0" w:after="283"/>
              <w:jc w:val="left"/>
              <w:rPr/>
            </w:pPr>
            <w:r>
              <w:rPr/>
              <w:t>Benjamin Ling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70" w:type="dxa"/>
            <w:tcBorders/>
            <w:vAlign w:val="center"/>
          </w:tcPr>
          <w:p>
            <w:pPr>
              <w:pStyle w:val="TableContents"/>
              <w:bidi w:val="0"/>
              <w:spacing w:before="0" w:after="283"/>
              <w:jc w:val="left"/>
              <w:rPr/>
            </w:pPr>
            <w:r>
              <w:rPr/>
              <w:t>Managing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365"/>
        <w:gridCol w:w="4850"/>
      </w:tblGrid>
      <w:tr>
        <w:trPr/>
        <w:tc>
          <w:tcPr>
            <w:tcW w:w="75" w:type="dxa"/>
            <w:tcBorders/>
            <w:vAlign w:val="center"/>
          </w:tcPr>
          <w:p>
            <w:pPr>
              <w:pStyle w:val="TableContents"/>
              <w:bidi w:val="0"/>
              <w:spacing w:before="0" w:after="283"/>
              <w:jc w:val="left"/>
              <w:rPr/>
            </w:pPr>
            <w:r>
              <w:rPr/>
              <w:t> </w:t>
            </w:r>
          </w:p>
        </w:tc>
        <w:tc>
          <w:tcPr>
            <w:tcW w:w="5215"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52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15" w:type="dxa"/>
            <w:gridSpan w:val="2"/>
            <w:tcBorders/>
            <w:vAlign w:val="center"/>
          </w:tcPr>
          <w:p>
            <w:pPr>
              <w:pStyle w:val="TableContents"/>
              <w:bidi w:val="0"/>
              <w:spacing w:before="0" w:after="283"/>
              <w:jc w:val="left"/>
              <w:rPr>
                <w:b/>
              </w:rPr>
            </w:pPr>
            <w:r>
              <w:rPr>
                <w:b/>
              </w:rPr>
              <w:t>BLING CAPITAL FUND I LP</w:t>
            </w:r>
          </w:p>
        </w:tc>
      </w:tr>
      <w:tr>
        <w:trPr/>
        <w:tc>
          <w:tcPr>
            <w:tcW w:w="75" w:type="dxa"/>
            <w:tcBorders/>
            <w:vAlign w:val="center"/>
          </w:tcPr>
          <w:p>
            <w:pPr>
              <w:pStyle w:val="TableContents"/>
              <w:bidi w:val="0"/>
              <w:spacing w:before="0" w:after="283"/>
              <w:jc w:val="left"/>
              <w:rPr/>
            </w:pPr>
            <w:r>
              <w:rPr/>
              <w:t> </w:t>
            </w:r>
          </w:p>
        </w:tc>
        <w:tc>
          <w:tcPr>
            <w:tcW w:w="52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850" w:type="dxa"/>
            <w:tcBorders/>
            <w:vAlign w:val="center"/>
          </w:tcPr>
          <w:p>
            <w:pPr>
              <w:pStyle w:val="TableContents"/>
              <w:bidi w:val="0"/>
              <w:spacing w:before="0" w:after="283"/>
              <w:jc w:val="left"/>
              <w:rPr/>
            </w:pPr>
            <w:r>
              <w:rPr/>
              <w:t>Bling Capital GP I LLC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Its:</w:t>
            </w:r>
          </w:p>
        </w:tc>
        <w:tc>
          <w:tcPr>
            <w:tcW w:w="4850" w:type="dxa"/>
            <w:tcBorders/>
            <w:vAlign w:val="center"/>
          </w:tcPr>
          <w:p>
            <w:pPr>
              <w:pStyle w:val="TableContents"/>
              <w:bidi w:val="0"/>
              <w:spacing w:before="0" w:after="283"/>
              <w:jc w:val="left"/>
              <w:rPr/>
            </w:pPr>
            <w:r>
              <w:rPr/>
              <w:t>General Partner</w:t>
            </w:r>
          </w:p>
        </w:tc>
      </w:tr>
    </w:tbl>
    <w:p>
      <w:pPr>
        <w:pStyle w:val="TextBody"/>
        <w:bidi w:val="0"/>
        <w:spacing w:before="0" w:after="0"/>
        <w:ind w:left="576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650"/>
        <w:gridCol w:w="191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1910" w:type="dxa"/>
            <w:tcBorders>
              <w:bottom w:val="single" w:sz="12" w:space="0" w:color="000000"/>
            </w:tcBorders>
            <w:tcMar>
              <w:bottom w:w="28" w:type="dxa"/>
            </w:tcMar>
            <w:vAlign w:val="center"/>
          </w:tcPr>
          <w:p>
            <w:pPr>
              <w:pStyle w:val="TableContents"/>
              <w:bidi w:val="0"/>
              <w:spacing w:before="0" w:after="283"/>
              <w:jc w:val="left"/>
              <w:rPr/>
            </w:pPr>
            <w:r>
              <w:rPr/>
              <w:t>/s/ Benjamin Ling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910" w:type="dxa"/>
            <w:tcBorders/>
            <w:vAlign w:val="center"/>
          </w:tcPr>
          <w:p>
            <w:pPr>
              <w:pStyle w:val="TableContents"/>
              <w:bidi w:val="0"/>
              <w:spacing w:before="0" w:after="283"/>
              <w:jc w:val="left"/>
              <w:rPr/>
            </w:pPr>
            <w:r>
              <w:rPr/>
              <w:t>Benjamin Ling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910" w:type="dxa"/>
            <w:tcBorders/>
            <w:vAlign w:val="center"/>
          </w:tcPr>
          <w:p>
            <w:pPr>
              <w:pStyle w:val="TableContents"/>
              <w:bidi w:val="0"/>
              <w:spacing w:before="0" w:after="283"/>
              <w:jc w:val="left"/>
              <w:rPr/>
            </w:pPr>
            <w:r>
              <w:rPr/>
              <w:t>Managing Partner</w:t>
            </w:r>
          </w:p>
        </w:tc>
      </w:tr>
    </w:tbl>
    <w:p>
      <w:pPr>
        <w:pStyle w:val="TextBody"/>
        <w:bidi w:val="0"/>
        <w:spacing w:before="0" w:after="0"/>
        <w:ind w:left="0" w:right="0" w:hanging="0"/>
        <w:jc w:val="left"/>
        <w:rPr>
          <w:caps w:val="false"/>
          <w:smallCaps w:val="false"/>
        </w:rPr>
      </w:pPr>
      <w:r>
        <w:rPr>
          <w:caps w:val="false"/>
          <w:smallCaps w:val="false"/>
        </w:rPr>
        <w:t> </w:t>
      </w:r>
    </w:p>
    <w:tbl>
      <w:tblPr>
        <w:tblW w:w="4264" w:type="dxa"/>
        <w:jc w:val="left"/>
        <w:tblInd w:w="0" w:type="dxa"/>
        <w:tblLayout w:type="fixed"/>
        <w:tblCellMar>
          <w:top w:w="0" w:type="dxa"/>
          <w:left w:w="0" w:type="dxa"/>
          <w:bottom w:w="0" w:type="dxa"/>
          <w:right w:w="0" w:type="dxa"/>
        </w:tblCellMar>
      </w:tblPr>
      <w:tblGrid>
        <w:gridCol w:w="75"/>
        <w:gridCol w:w="699"/>
        <w:gridCol w:w="3490"/>
      </w:tblGrid>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b/>
              </w:rPr>
            </w:pPr>
            <w:r>
              <w:rPr>
                <w:b/>
              </w:rPr>
              <w:t>BLING CAPITAL SPV Q MERLIN LP</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By:</w:t>
            </w:r>
          </w:p>
        </w:tc>
        <w:tc>
          <w:tcPr>
            <w:tcW w:w="3490" w:type="dxa"/>
            <w:tcBorders/>
            <w:vAlign w:val="center"/>
          </w:tcPr>
          <w:p>
            <w:pPr>
              <w:pStyle w:val="TableContents"/>
              <w:bidi w:val="0"/>
              <w:spacing w:before="0" w:after="283"/>
              <w:jc w:val="left"/>
              <w:rPr/>
            </w:pPr>
            <w:r>
              <w:rPr/>
              <w:t>Bling Capital LLC</w:t>
            </w:r>
          </w:p>
        </w:tc>
      </w:tr>
      <w:tr>
        <w:trPr/>
        <w:tc>
          <w:tcPr>
            <w:tcW w:w="75"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Its:</w:t>
            </w:r>
          </w:p>
        </w:tc>
        <w:tc>
          <w:tcPr>
            <w:tcW w:w="3490" w:type="dxa"/>
            <w:tcBorders/>
            <w:vAlign w:val="center"/>
          </w:tcPr>
          <w:p>
            <w:pPr>
              <w:pStyle w:val="TableContents"/>
              <w:bidi w:val="0"/>
              <w:spacing w:before="0" w:after="283"/>
              <w:jc w:val="left"/>
              <w:rPr/>
            </w:pPr>
            <w:r>
              <w:rPr/>
              <w:t>General Partner</w:t>
            </w:r>
          </w:p>
        </w:tc>
      </w:tr>
    </w:tbl>
    <w:p>
      <w:pPr>
        <w:pStyle w:val="TextBody"/>
        <w:bidi w:val="0"/>
        <w:spacing w:before="0" w:after="0"/>
        <w:ind w:left="576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650"/>
        <w:gridCol w:w="179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1790" w:type="dxa"/>
            <w:tcBorders>
              <w:bottom w:val="single" w:sz="12" w:space="0" w:color="000000"/>
            </w:tcBorders>
            <w:tcMar>
              <w:bottom w:w="28" w:type="dxa"/>
            </w:tcMar>
            <w:vAlign w:val="center"/>
          </w:tcPr>
          <w:p>
            <w:pPr>
              <w:pStyle w:val="TableContents"/>
              <w:bidi w:val="0"/>
              <w:spacing w:before="0" w:after="283"/>
              <w:jc w:val="left"/>
              <w:rPr/>
            </w:pPr>
            <w:r>
              <w:rPr/>
              <w:t>/s/ Benjamin Ling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790" w:type="dxa"/>
            <w:tcBorders/>
            <w:vAlign w:val="center"/>
          </w:tcPr>
          <w:p>
            <w:pPr>
              <w:pStyle w:val="TableContents"/>
              <w:bidi w:val="0"/>
              <w:spacing w:before="0" w:after="283"/>
              <w:jc w:val="left"/>
              <w:rPr/>
            </w:pPr>
            <w:r>
              <w:rPr/>
              <w:t>Benjamin Ling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790" w:type="dxa"/>
            <w:tcBorders/>
            <w:vAlign w:val="center"/>
          </w:tcPr>
          <w:p>
            <w:pPr>
              <w:pStyle w:val="TableContents"/>
              <w:bidi w:val="0"/>
              <w:spacing w:before="0" w:after="283"/>
              <w:jc w:val="left"/>
              <w:rPr/>
            </w:pPr>
            <w:r>
              <w:rPr/>
              <w:t>Managing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365"/>
        <w:gridCol w:w="4655"/>
      </w:tblGrid>
      <w:tr>
        <w:trPr/>
        <w:tc>
          <w:tcPr>
            <w:tcW w:w="75" w:type="dxa"/>
            <w:tcBorders/>
            <w:vAlign w:val="center"/>
          </w:tcPr>
          <w:p>
            <w:pPr>
              <w:pStyle w:val="TableContents"/>
              <w:bidi w:val="0"/>
              <w:spacing w:before="0" w:after="283"/>
              <w:jc w:val="left"/>
              <w:rPr/>
            </w:pPr>
            <w:r>
              <w:rPr/>
              <w:t> </w:t>
            </w:r>
          </w:p>
        </w:tc>
        <w:tc>
          <w:tcPr>
            <w:tcW w:w="5020"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50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0" w:type="dxa"/>
            <w:gridSpan w:val="2"/>
            <w:tcBorders/>
            <w:vAlign w:val="center"/>
          </w:tcPr>
          <w:p>
            <w:pPr>
              <w:pStyle w:val="TableContents"/>
              <w:bidi w:val="0"/>
              <w:spacing w:before="0" w:after="283"/>
              <w:jc w:val="left"/>
              <w:rPr>
                <w:b/>
              </w:rPr>
            </w:pPr>
            <w:r>
              <w:rPr>
                <w:b/>
              </w:rPr>
              <w:t>BOXGROUP THREE LLC</w:t>
            </w:r>
          </w:p>
        </w:tc>
      </w:tr>
      <w:tr>
        <w:trPr/>
        <w:tc>
          <w:tcPr>
            <w:tcW w:w="75" w:type="dxa"/>
            <w:tcBorders/>
            <w:vAlign w:val="center"/>
          </w:tcPr>
          <w:p>
            <w:pPr>
              <w:pStyle w:val="TableContents"/>
              <w:bidi w:val="0"/>
              <w:spacing w:before="0" w:after="283"/>
              <w:jc w:val="left"/>
              <w:rPr/>
            </w:pPr>
            <w:r>
              <w:rPr/>
              <w:t> </w:t>
            </w:r>
          </w:p>
        </w:tc>
        <w:tc>
          <w:tcPr>
            <w:tcW w:w="50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655" w:type="dxa"/>
            <w:tcBorders/>
            <w:vAlign w:val="center"/>
          </w:tcPr>
          <w:p>
            <w:pPr>
              <w:pStyle w:val="TableContents"/>
              <w:bidi w:val="0"/>
              <w:spacing w:before="0" w:after="283"/>
              <w:jc w:val="left"/>
              <w:rPr/>
            </w:pPr>
            <w:r>
              <w:rPr/>
              <w:t>Boxgroup Three Manager LLC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Its:</w:t>
            </w:r>
          </w:p>
        </w:tc>
        <w:tc>
          <w:tcPr>
            <w:tcW w:w="4655" w:type="dxa"/>
            <w:tcBorders/>
            <w:vAlign w:val="center"/>
          </w:tcPr>
          <w:p>
            <w:pPr>
              <w:pStyle w:val="TableContents"/>
              <w:bidi w:val="0"/>
              <w:spacing w:before="0" w:after="283"/>
              <w:jc w:val="left"/>
              <w:rPr/>
            </w:pPr>
            <w:r>
              <w:rPr/>
              <w:t>Manager</w:t>
            </w:r>
          </w:p>
        </w:tc>
      </w:tr>
    </w:tbl>
    <w:p>
      <w:pPr>
        <w:pStyle w:val="TextBody"/>
        <w:bidi w:val="0"/>
        <w:spacing w:before="0" w:after="0"/>
        <w:ind w:left="576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650"/>
        <w:gridCol w:w="1475"/>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1475" w:type="dxa"/>
            <w:tcBorders>
              <w:bottom w:val="single" w:sz="12" w:space="0" w:color="000000"/>
            </w:tcBorders>
            <w:tcMar>
              <w:bottom w:w="28" w:type="dxa"/>
            </w:tcMar>
            <w:vAlign w:val="center"/>
          </w:tcPr>
          <w:p>
            <w:pPr>
              <w:pStyle w:val="TableContents"/>
              <w:bidi w:val="0"/>
              <w:spacing w:before="0" w:after="283"/>
              <w:jc w:val="left"/>
              <w:rPr/>
            </w:pPr>
            <w:r>
              <w:rPr/>
              <w:t>/s/ David Tisch</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475" w:type="dxa"/>
            <w:tcBorders/>
            <w:vAlign w:val="center"/>
          </w:tcPr>
          <w:p>
            <w:pPr>
              <w:pStyle w:val="TableContents"/>
              <w:bidi w:val="0"/>
              <w:spacing w:before="0" w:after="283"/>
              <w:jc w:val="left"/>
              <w:rPr/>
            </w:pPr>
            <w:r>
              <w:rPr/>
              <w:t>David Tisch</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475" w:type="dxa"/>
            <w:tcBorders/>
            <w:vAlign w:val="center"/>
          </w:tcPr>
          <w:p>
            <w:pPr>
              <w:pStyle w:val="TableContents"/>
              <w:bidi w:val="0"/>
              <w:spacing w:before="0" w:after="283"/>
              <w:jc w:val="left"/>
              <w:rPr/>
            </w:pPr>
            <w:r>
              <w:rPr/>
              <w:t>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650"/>
        <w:gridCol w:w="3995"/>
      </w:tblGrid>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b/>
              </w:rPr>
            </w:pPr>
            <w:r>
              <w:rPr>
                <w:b/>
              </w:rPr>
              <w:t>EMERALD BAY VENTURES II, LLC</w:t>
            </w:r>
          </w:p>
        </w:tc>
      </w:tr>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995" w:type="dxa"/>
            <w:tcBorders>
              <w:bottom w:val="single" w:sz="12" w:space="0" w:color="000000"/>
            </w:tcBorders>
            <w:tcMar>
              <w:bottom w:w="28" w:type="dxa"/>
            </w:tcMar>
            <w:vAlign w:val="center"/>
          </w:tcPr>
          <w:p>
            <w:pPr>
              <w:pStyle w:val="TableContents"/>
              <w:bidi w:val="0"/>
              <w:spacing w:before="0" w:after="283"/>
              <w:jc w:val="left"/>
              <w:rPr/>
            </w:pPr>
            <w:r>
              <w:rPr/>
              <w:t>/s/ James Slavik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995" w:type="dxa"/>
            <w:tcBorders/>
            <w:vAlign w:val="center"/>
          </w:tcPr>
          <w:p>
            <w:pPr>
              <w:pStyle w:val="TableContents"/>
              <w:bidi w:val="0"/>
              <w:spacing w:before="0" w:after="283"/>
              <w:jc w:val="left"/>
              <w:rPr/>
            </w:pPr>
            <w:r>
              <w:rPr/>
              <w:t>James Slavik</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995" w:type="dxa"/>
            <w:tcBorders/>
            <w:vAlign w:val="center"/>
          </w:tcPr>
          <w:p>
            <w:pPr>
              <w:pStyle w:val="TableContents"/>
              <w:bidi w:val="0"/>
              <w:spacing w:before="0" w:after="283"/>
              <w:jc w:val="left"/>
              <w:rPr/>
            </w:pPr>
            <w:r>
              <w:rPr/>
              <w:t>Managing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365"/>
        <w:gridCol w:w="4445"/>
      </w:tblGrid>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FIRST ROUND CAPITAL VI, L.P.</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445" w:type="dxa"/>
            <w:tcBorders/>
            <w:vAlign w:val="center"/>
          </w:tcPr>
          <w:p>
            <w:pPr>
              <w:pStyle w:val="TableContents"/>
              <w:bidi w:val="0"/>
              <w:spacing w:before="0" w:after="283"/>
              <w:jc w:val="left"/>
              <w:rPr/>
            </w:pPr>
            <w:r>
              <w:rPr/>
              <w:t>First Round Capital Management VI, L.P.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Its:</w:t>
            </w:r>
          </w:p>
        </w:tc>
        <w:tc>
          <w:tcPr>
            <w:tcW w:w="4445" w:type="dxa"/>
            <w:tcBorders/>
            <w:vAlign w:val="center"/>
          </w:tcPr>
          <w:p>
            <w:pPr>
              <w:pStyle w:val="TableContents"/>
              <w:bidi w:val="0"/>
              <w:spacing w:before="0" w:after="283"/>
              <w:jc w:val="left"/>
              <w:rPr/>
            </w:pPr>
            <w:r>
              <w:rPr/>
              <w:t>General Partner                              </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445" w:type="dxa"/>
            <w:tcBorders/>
            <w:vAlign w:val="center"/>
          </w:tcPr>
          <w:p>
            <w:pPr>
              <w:pStyle w:val="TableContents"/>
              <w:bidi w:val="0"/>
              <w:spacing w:before="0" w:after="283"/>
              <w:jc w:val="left"/>
              <w:rPr/>
            </w:pPr>
            <w:r>
              <w:rPr/>
              <w:t>First Round Capital Management VI, LLC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Its:</w:t>
            </w:r>
          </w:p>
        </w:tc>
        <w:tc>
          <w:tcPr>
            <w:tcW w:w="4445" w:type="dxa"/>
            <w:tcBorders/>
            <w:vAlign w:val="center"/>
          </w:tcPr>
          <w:p>
            <w:pPr>
              <w:pStyle w:val="TableContents"/>
              <w:bidi w:val="0"/>
              <w:spacing w:before="0" w:after="283"/>
              <w:jc w:val="left"/>
              <w:rPr/>
            </w:pPr>
            <w:r>
              <w:rPr/>
              <w:t>General Partner</w:t>
            </w:r>
          </w:p>
        </w:tc>
      </w:tr>
    </w:tbl>
    <w:p>
      <w:pPr>
        <w:pStyle w:val="TextBody"/>
        <w:bidi w:val="0"/>
        <w:spacing w:before="0" w:after="0"/>
        <w:ind w:left="576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650"/>
        <w:gridCol w:w="1775"/>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1775" w:type="dxa"/>
            <w:tcBorders>
              <w:bottom w:val="single" w:sz="12" w:space="0" w:color="000000"/>
            </w:tcBorders>
            <w:tcMar>
              <w:bottom w:w="28" w:type="dxa"/>
            </w:tcMar>
            <w:vAlign w:val="center"/>
          </w:tcPr>
          <w:p>
            <w:pPr>
              <w:pStyle w:val="TableContents"/>
              <w:bidi w:val="0"/>
              <w:spacing w:before="0" w:after="283"/>
              <w:jc w:val="left"/>
              <w:rPr/>
            </w:pPr>
            <w:r>
              <w:rPr/>
              <w:t>/s/ Josh Kopelman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775" w:type="dxa"/>
            <w:tcBorders/>
            <w:vAlign w:val="center"/>
          </w:tcPr>
          <w:p>
            <w:pPr>
              <w:pStyle w:val="TableContents"/>
              <w:bidi w:val="0"/>
              <w:spacing w:before="0" w:after="283"/>
              <w:jc w:val="left"/>
              <w:rPr/>
            </w:pPr>
            <w:r>
              <w:rPr/>
              <w:t>Josh Kopelman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775" w:type="dxa"/>
            <w:tcBorders/>
            <w:vAlign w:val="center"/>
          </w:tcPr>
          <w:p>
            <w:pPr>
              <w:pStyle w:val="TableContents"/>
              <w:bidi w:val="0"/>
              <w:spacing w:before="0" w:after="283"/>
              <w:jc w:val="left"/>
              <w:rPr/>
            </w:pPr>
            <w:r>
              <w:rPr/>
              <w:t>Partner</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365"/>
        <w:gridCol w:w="4445"/>
      </w:tblGrid>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FIRST ROUND CAPITAL VIII-F, L.P.</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pPr>
            <w:r>
              <w:rPr/>
              <w:t>as nominee for</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pPr>
            <w:r>
              <w:rPr/>
              <w:t>First Round Capital VIII-F, L.P.</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pPr>
            <w:r>
              <w:rPr/>
              <w:t>First Round Capital VIII-F Partners Fund, L.P.</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445" w:type="dxa"/>
            <w:tcBorders/>
            <w:vAlign w:val="center"/>
          </w:tcPr>
          <w:p>
            <w:pPr>
              <w:pStyle w:val="TableContents"/>
              <w:bidi w:val="0"/>
              <w:spacing w:before="0" w:after="283"/>
              <w:jc w:val="left"/>
              <w:rPr/>
            </w:pPr>
            <w:r>
              <w:rPr/>
              <w:t>First Round Capital Management VIII-F, L.P.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Its:</w:t>
            </w:r>
          </w:p>
        </w:tc>
        <w:tc>
          <w:tcPr>
            <w:tcW w:w="4445"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445" w:type="dxa"/>
            <w:tcBorders/>
            <w:vAlign w:val="center"/>
          </w:tcPr>
          <w:p>
            <w:pPr>
              <w:pStyle w:val="TableContents"/>
              <w:bidi w:val="0"/>
              <w:spacing w:before="0" w:after="283"/>
              <w:jc w:val="left"/>
              <w:rPr/>
            </w:pPr>
            <w:r>
              <w:rPr/>
              <w:t>First Round Capital Management VIII-F, LLC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Its:</w:t>
            </w:r>
          </w:p>
        </w:tc>
        <w:tc>
          <w:tcPr>
            <w:tcW w:w="4445" w:type="dxa"/>
            <w:tcBorders/>
            <w:vAlign w:val="center"/>
          </w:tcPr>
          <w:p>
            <w:pPr>
              <w:pStyle w:val="TableContents"/>
              <w:bidi w:val="0"/>
              <w:spacing w:before="0" w:after="283"/>
              <w:jc w:val="left"/>
              <w:rPr/>
            </w:pPr>
            <w:r>
              <w:rPr/>
              <w:t>General Partner</w:t>
            </w:r>
          </w:p>
        </w:tc>
      </w:tr>
    </w:tbl>
    <w:p>
      <w:pPr>
        <w:pStyle w:val="TextBody"/>
        <w:bidi w:val="0"/>
        <w:spacing w:before="0" w:after="0"/>
        <w:ind w:left="576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650"/>
        <w:gridCol w:w="3155"/>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155" w:type="dxa"/>
            <w:tcBorders>
              <w:bottom w:val="single" w:sz="12" w:space="0" w:color="000000"/>
            </w:tcBorders>
            <w:tcMar>
              <w:bottom w:w="28" w:type="dxa"/>
            </w:tcMar>
            <w:vAlign w:val="center"/>
          </w:tcPr>
          <w:p>
            <w:pPr>
              <w:pStyle w:val="TableContents"/>
              <w:bidi w:val="0"/>
              <w:spacing w:before="0" w:after="283"/>
              <w:jc w:val="left"/>
              <w:rPr/>
            </w:pPr>
            <w:r>
              <w:rPr/>
              <w:t>/s/ Josh Kopelman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155" w:type="dxa"/>
            <w:tcBorders/>
            <w:vAlign w:val="center"/>
          </w:tcPr>
          <w:p>
            <w:pPr>
              <w:pStyle w:val="TableContents"/>
              <w:bidi w:val="0"/>
              <w:spacing w:before="0" w:after="283"/>
              <w:jc w:val="left"/>
              <w:rPr/>
            </w:pPr>
            <w:r>
              <w:rPr/>
              <w:t>Josh Kopelman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155" w:type="dxa"/>
            <w:tcBorders/>
            <w:vAlign w:val="center"/>
          </w:tcPr>
          <w:p>
            <w:pPr>
              <w:pStyle w:val="TableContents"/>
              <w:bidi w:val="0"/>
              <w:spacing w:before="0" w:after="283"/>
              <w:jc w:val="left"/>
              <w:rPr/>
            </w:pPr>
            <w:r>
              <w:rPr/>
              <w:t>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365"/>
        <w:gridCol w:w="4265"/>
      </w:tblGrid>
      <w:tr>
        <w:trPr/>
        <w:tc>
          <w:tcPr>
            <w:tcW w:w="7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b/>
              </w:rPr>
            </w:pPr>
            <w:r>
              <w:rPr>
                <w:b/>
              </w:rPr>
              <w:t>FLOODGATE FUND VI, L.P.</w:t>
            </w:r>
          </w:p>
        </w:tc>
      </w:tr>
      <w:tr>
        <w:trPr/>
        <w:tc>
          <w:tcPr>
            <w:tcW w:w="7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pPr>
            <w:r>
              <w:rPr/>
              <w:t>on behalf of itself and as nominee for</w:t>
              <w:br/>
              <w:t>certain other individuals and entities</w:t>
            </w:r>
          </w:p>
        </w:tc>
      </w:tr>
      <w:tr>
        <w:trPr/>
        <w:tc>
          <w:tcPr>
            <w:tcW w:w="7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265" w:type="dxa"/>
            <w:tcBorders/>
            <w:vAlign w:val="center"/>
          </w:tcPr>
          <w:p>
            <w:pPr>
              <w:pStyle w:val="TableContents"/>
              <w:bidi w:val="0"/>
              <w:spacing w:before="0" w:after="283"/>
              <w:jc w:val="left"/>
              <w:rPr/>
            </w:pPr>
            <w:r>
              <w:rPr/>
              <w:t>Floodgate Partners VI, L.L.C.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Its:</w:t>
            </w:r>
          </w:p>
        </w:tc>
        <w:tc>
          <w:tcPr>
            <w:tcW w:w="4265" w:type="dxa"/>
            <w:tcBorders/>
            <w:vAlign w:val="center"/>
          </w:tcPr>
          <w:p>
            <w:pPr>
              <w:pStyle w:val="TableContents"/>
              <w:bidi w:val="0"/>
              <w:spacing w:before="0" w:after="283"/>
              <w:jc w:val="left"/>
              <w:rPr/>
            </w:pPr>
            <w:r>
              <w:rPr/>
              <w:t>General Partner</w:t>
            </w:r>
          </w:p>
        </w:tc>
      </w:tr>
    </w:tbl>
    <w:p>
      <w:pPr>
        <w:pStyle w:val="TextBody"/>
        <w:bidi w:val="0"/>
        <w:spacing w:before="0" w:after="283"/>
        <w:jc w:val="left"/>
        <w:rPr/>
      </w:pPr>
      <w:r>
        <w:rPr/>
        <w:t> </w:t>
      </w:r>
    </w:p>
    <w:tbl>
      <w:tblPr>
        <w:tblW w:w="2800" w:type="dxa"/>
        <w:jc w:val="left"/>
        <w:tblInd w:w="0" w:type="dxa"/>
        <w:tblLayout w:type="fixed"/>
        <w:tblCellMar>
          <w:top w:w="0" w:type="dxa"/>
          <w:left w:w="0" w:type="dxa"/>
          <w:bottom w:w="0" w:type="dxa"/>
          <w:right w:w="0" w:type="dxa"/>
        </w:tblCellMar>
      </w:tblPr>
      <w:tblGrid>
        <w:gridCol w:w="75"/>
        <w:gridCol w:w="650"/>
        <w:gridCol w:w="2075"/>
      </w:tblGrid>
      <w:tr>
        <w:trPr/>
        <w:tc>
          <w:tcPr>
            <w:tcW w:w="7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075" w:type="dxa"/>
            <w:tcBorders>
              <w:bottom w:val="single" w:sz="12" w:space="0" w:color="000000"/>
            </w:tcBorders>
            <w:tcMar>
              <w:bottom w:w="28" w:type="dxa"/>
            </w:tcMar>
            <w:vAlign w:val="center"/>
          </w:tcPr>
          <w:p>
            <w:pPr>
              <w:pStyle w:val="TableContents"/>
              <w:bidi w:val="0"/>
              <w:spacing w:before="0" w:after="283"/>
              <w:jc w:val="left"/>
              <w:rPr/>
            </w:pPr>
            <w:r>
              <w:rPr/>
              <w:t xml:space="preserve">/s/ R. Ann Miura-Ko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075" w:type="dxa"/>
            <w:tcBorders/>
            <w:vAlign w:val="center"/>
          </w:tcPr>
          <w:p>
            <w:pPr>
              <w:pStyle w:val="TableContents"/>
              <w:bidi w:val="0"/>
              <w:spacing w:before="0" w:after="283"/>
              <w:jc w:val="left"/>
              <w:rPr/>
            </w:pPr>
            <w:r>
              <w:rPr/>
              <w:t>R. Ann Miura-Ko</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075" w:type="dxa"/>
            <w:tcBorders/>
            <w:vAlign w:val="center"/>
          </w:tcPr>
          <w:p>
            <w:pPr>
              <w:pStyle w:val="TableContents"/>
              <w:bidi w:val="0"/>
              <w:spacing w:before="0" w:after="283"/>
              <w:jc w:val="left"/>
              <w:rPr/>
            </w:pPr>
            <w:r>
              <w:rPr/>
              <w:t>Managing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365"/>
        <w:gridCol w:w="4565"/>
      </w:tblGrid>
      <w:tr>
        <w:trPr/>
        <w:tc>
          <w:tcPr>
            <w:tcW w:w="75" w:type="dxa"/>
            <w:tcBorders/>
            <w:vAlign w:val="center"/>
          </w:tcPr>
          <w:p>
            <w:pPr>
              <w:pStyle w:val="TableContents"/>
              <w:bidi w:val="0"/>
              <w:spacing w:before="0" w:after="283"/>
              <w:jc w:val="left"/>
              <w:rPr/>
            </w:pPr>
            <w:r>
              <w:rPr/>
              <w:t> </w:t>
            </w:r>
          </w:p>
        </w:tc>
        <w:tc>
          <w:tcPr>
            <w:tcW w:w="4930"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49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30" w:type="dxa"/>
            <w:gridSpan w:val="2"/>
            <w:tcBorders/>
            <w:vAlign w:val="center"/>
          </w:tcPr>
          <w:p>
            <w:pPr>
              <w:pStyle w:val="TableContents"/>
              <w:bidi w:val="0"/>
              <w:spacing w:before="0" w:after="283"/>
              <w:jc w:val="left"/>
              <w:rPr>
                <w:b/>
              </w:rPr>
            </w:pPr>
            <w:r>
              <w:rPr>
                <w:b/>
              </w:rPr>
              <w:t>HARPOON VENTURES FUND I, L.P.</w:t>
            </w:r>
          </w:p>
        </w:tc>
      </w:tr>
      <w:tr>
        <w:trPr/>
        <w:tc>
          <w:tcPr>
            <w:tcW w:w="75" w:type="dxa"/>
            <w:tcBorders/>
            <w:vAlign w:val="center"/>
          </w:tcPr>
          <w:p>
            <w:pPr>
              <w:pStyle w:val="TableContents"/>
              <w:bidi w:val="0"/>
              <w:spacing w:before="0" w:after="283"/>
              <w:jc w:val="left"/>
              <w:rPr/>
            </w:pPr>
            <w:r>
              <w:rPr/>
              <w:t> </w:t>
            </w:r>
          </w:p>
        </w:tc>
        <w:tc>
          <w:tcPr>
            <w:tcW w:w="49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565" w:type="dxa"/>
            <w:tcBorders/>
            <w:vAlign w:val="center"/>
          </w:tcPr>
          <w:p>
            <w:pPr>
              <w:pStyle w:val="TableContents"/>
              <w:bidi w:val="0"/>
              <w:spacing w:before="0" w:after="283"/>
              <w:jc w:val="left"/>
              <w:rPr/>
            </w:pPr>
            <w:r>
              <w:rPr/>
              <w:t>Harpoon Ventures I GP, LLC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Its:</w:t>
            </w:r>
          </w:p>
        </w:tc>
        <w:tc>
          <w:tcPr>
            <w:tcW w:w="4565" w:type="dxa"/>
            <w:tcBorders/>
            <w:vAlign w:val="center"/>
          </w:tcPr>
          <w:p>
            <w:pPr>
              <w:pStyle w:val="TableContents"/>
              <w:bidi w:val="0"/>
              <w:spacing w:before="0" w:after="283"/>
              <w:jc w:val="left"/>
              <w:rPr/>
            </w:pPr>
            <w:r>
              <w:rPr/>
              <w:t>General Partner</w:t>
            </w:r>
          </w:p>
        </w:tc>
      </w:tr>
    </w:tbl>
    <w:p>
      <w:pPr>
        <w:pStyle w:val="TextBody"/>
        <w:bidi w:val="0"/>
        <w:spacing w:before="0" w:after="0"/>
        <w:ind w:left="576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650"/>
        <w:gridCol w:w="1835"/>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1835" w:type="dxa"/>
            <w:tcBorders>
              <w:bottom w:val="single" w:sz="12" w:space="0" w:color="000000"/>
            </w:tcBorders>
            <w:tcMar>
              <w:bottom w:w="28" w:type="dxa"/>
            </w:tcMar>
            <w:vAlign w:val="center"/>
          </w:tcPr>
          <w:p>
            <w:pPr>
              <w:pStyle w:val="TableContents"/>
              <w:bidi w:val="0"/>
              <w:spacing w:before="0" w:after="283"/>
              <w:jc w:val="left"/>
              <w:rPr/>
            </w:pPr>
            <w:r>
              <w:rPr/>
              <w:t>/s/ Larsen Jensen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835" w:type="dxa"/>
            <w:tcBorders/>
            <w:vAlign w:val="center"/>
          </w:tcPr>
          <w:p>
            <w:pPr>
              <w:pStyle w:val="TableContents"/>
              <w:bidi w:val="0"/>
              <w:spacing w:before="0" w:after="283"/>
              <w:jc w:val="left"/>
              <w:rPr/>
            </w:pPr>
            <w:r>
              <w:rPr/>
              <w:t>Larsen Jensen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835" w:type="dxa"/>
            <w:tcBorders/>
            <w:vAlign w:val="center"/>
          </w:tcPr>
          <w:p>
            <w:pPr>
              <w:pStyle w:val="TableContents"/>
              <w:bidi w:val="0"/>
              <w:spacing w:before="0" w:after="283"/>
              <w:jc w:val="left"/>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650"/>
        <w:gridCol w:w="4430"/>
      </w:tblGrid>
      <w:tr>
        <w:trPr/>
        <w:tc>
          <w:tcPr>
            <w:tcW w:w="75" w:type="dxa"/>
            <w:tcBorders/>
            <w:vAlign w:val="center"/>
          </w:tcPr>
          <w:p>
            <w:pPr>
              <w:pStyle w:val="TableContents"/>
              <w:bidi w:val="0"/>
              <w:spacing w:before="0" w:after="283"/>
              <w:jc w:val="left"/>
              <w:rPr/>
            </w:pPr>
            <w:r>
              <w:rPr/>
              <w:t> </w:t>
            </w:r>
          </w:p>
        </w:tc>
        <w:tc>
          <w:tcPr>
            <w:tcW w:w="5080"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50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80" w:type="dxa"/>
            <w:gridSpan w:val="2"/>
            <w:tcBorders/>
            <w:vAlign w:val="center"/>
          </w:tcPr>
          <w:p>
            <w:pPr>
              <w:pStyle w:val="TableContents"/>
              <w:bidi w:val="0"/>
              <w:spacing w:before="0" w:after="283"/>
              <w:jc w:val="left"/>
              <w:rPr>
                <w:b/>
              </w:rPr>
            </w:pPr>
            <w:r>
              <w:rPr>
                <w:b/>
              </w:rPr>
              <w:t>MARK IV CAPITAL, INC.</w:t>
            </w:r>
          </w:p>
        </w:tc>
      </w:tr>
      <w:tr>
        <w:trPr/>
        <w:tc>
          <w:tcPr>
            <w:tcW w:w="75" w:type="dxa"/>
            <w:tcBorders/>
            <w:vAlign w:val="center"/>
          </w:tcPr>
          <w:p>
            <w:pPr>
              <w:pStyle w:val="TableContents"/>
              <w:bidi w:val="0"/>
              <w:spacing w:before="0" w:after="283"/>
              <w:jc w:val="left"/>
              <w:rPr/>
            </w:pPr>
            <w:r>
              <w:rPr/>
              <w:t> </w:t>
            </w:r>
          </w:p>
        </w:tc>
        <w:tc>
          <w:tcPr>
            <w:tcW w:w="50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430" w:type="dxa"/>
            <w:tcBorders>
              <w:bottom w:val="single" w:sz="12" w:space="0" w:color="000000"/>
            </w:tcBorders>
            <w:tcMar>
              <w:bottom w:w="28" w:type="dxa"/>
            </w:tcMar>
            <w:vAlign w:val="center"/>
          </w:tcPr>
          <w:p>
            <w:pPr>
              <w:pStyle w:val="TableContents"/>
              <w:bidi w:val="0"/>
              <w:spacing w:before="0" w:after="283"/>
              <w:jc w:val="left"/>
              <w:rPr/>
            </w:pPr>
            <w:r>
              <w:rPr/>
              <w:t>/s/ Michael S. Beaudoin II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430" w:type="dxa"/>
            <w:tcBorders/>
            <w:vAlign w:val="center"/>
          </w:tcPr>
          <w:p>
            <w:pPr>
              <w:pStyle w:val="TableContents"/>
              <w:bidi w:val="0"/>
              <w:spacing w:before="0" w:after="283"/>
              <w:jc w:val="left"/>
              <w:rPr/>
            </w:pPr>
            <w:r>
              <w:rPr/>
              <w:t>Michael S. Beaudoin II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430" w:type="dxa"/>
            <w:tcBorders/>
            <w:vAlign w:val="center"/>
          </w:tcPr>
          <w:p>
            <w:pPr>
              <w:pStyle w:val="TableContents"/>
              <w:bidi w:val="0"/>
              <w:spacing w:before="0" w:after="283"/>
              <w:jc w:val="left"/>
              <w:rPr/>
            </w:pPr>
            <w:r>
              <w:rPr/>
              <w:t>President of Private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75"/>
        <w:gridCol w:w="365"/>
        <w:gridCol w:w="4580"/>
      </w:tblGrid>
      <w:tr>
        <w:trPr/>
        <w:tc>
          <w:tcPr>
            <w:tcW w:w="75" w:type="dxa"/>
            <w:tcBorders/>
            <w:vAlign w:val="center"/>
          </w:tcPr>
          <w:p>
            <w:pPr>
              <w:pStyle w:val="TableContents"/>
              <w:bidi w:val="0"/>
              <w:spacing w:before="0" w:after="283"/>
              <w:jc w:val="left"/>
              <w:rPr/>
            </w:pPr>
            <w:r>
              <w:rPr/>
              <w:t> </w:t>
            </w:r>
          </w:p>
        </w:tc>
        <w:tc>
          <w:tcPr>
            <w:tcW w:w="4945"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49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45" w:type="dxa"/>
            <w:gridSpan w:val="2"/>
            <w:tcBorders/>
            <w:vAlign w:val="center"/>
          </w:tcPr>
          <w:p>
            <w:pPr>
              <w:pStyle w:val="TableContents"/>
              <w:bidi w:val="0"/>
              <w:spacing w:before="0" w:after="283"/>
              <w:jc w:val="left"/>
              <w:rPr>
                <w:b/>
              </w:rPr>
            </w:pPr>
            <w:r>
              <w:rPr>
                <w:b/>
              </w:rPr>
              <w:t>QUIET VENTURE I, LP</w:t>
            </w:r>
          </w:p>
        </w:tc>
      </w:tr>
      <w:tr>
        <w:trPr/>
        <w:tc>
          <w:tcPr>
            <w:tcW w:w="75" w:type="dxa"/>
            <w:tcBorders/>
            <w:vAlign w:val="center"/>
          </w:tcPr>
          <w:p>
            <w:pPr>
              <w:pStyle w:val="TableContents"/>
              <w:bidi w:val="0"/>
              <w:spacing w:before="0" w:after="283"/>
              <w:jc w:val="left"/>
              <w:rPr/>
            </w:pPr>
            <w:r>
              <w:rPr/>
              <w:t> </w:t>
            </w:r>
          </w:p>
        </w:tc>
        <w:tc>
          <w:tcPr>
            <w:tcW w:w="49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580" w:type="dxa"/>
            <w:tcBorders/>
            <w:vAlign w:val="center"/>
          </w:tcPr>
          <w:p>
            <w:pPr>
              <w:pStyle w:val="TableContents"/>
              <w:bidi w:val="0"/>
              <w:spacing w:before="0" w:after="283"/>
              <w:jc w:val="left"/>
              <w:rPr/>
            </w:pPr>
            <w:r>
              <w:rPr/>
              <w:t>Quiet Venture I GP, LLC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Its:</w:t>
            </w:r>
          </w:p>
        </w:tc>
        <w:tc>
          <w:tcPr>
            <w:tcW w:w="4580" w:type="dxa"/>
            <w:tcBorders/>
            <w:vAlign w:val="center"/>
          </w:tcPr>
          <w:p>
            <w:pPr>
              <w:pStyle w:val="TableContents"/>
              <w:bidi w:val="0"/>
              <w:spacing w:before="0" w:after="283"/>
              <w:jc w:val="left"/>
              <w:rPr/>
            </w:pPr>
            <w:r>
              <w:rPr/>
              <w:t>General Partner</w:t>
            </w:r>
          </w:p>
        </w:tc>
      </w:tr>
    </w:tbl>
    <w:p>
      <w:pPr>
        <w:pStyle w:val="TextBody"/>
        <w:bidi w:val="0"/>
        <w:spacing w:before="0" w:after="283"/>
        <w:jc w:val="left"/>
        <w:rPr/>
      </w:pPr>
      <w:r>
        <w:rPr/>
        <w:t> </w:t>
      </w:r>
    </w:p>
    <w:tbl>
      <w:tblPr>
        <w:tblW w:w="4885" w:type="dxa"/>
        <w:jc w:val="left"/>
        <w:tblInd w:w="0" w:type="dxa"/>
        <w:tblLayout w:type="fixed"/>
        <w:tblCellMar>
          <w:top w:w="0" w:type="dxa"/>
          <w:left w:w="0" w:type="dxa"/>
          <w:bottom w:w="0" w:type="dxa"/>
          <w:right w:w="0" w:type="dxa"/>
        </w:tblCellMar>
      </w:tblPr>
      <w:tblGrid>
        <w:gridCol w:w="75"/>
        <w:gridCol w:w="650"/>
        <w:gridCol w:w="416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160" w:type="dxa"/>
            <w:tcBorders>
              <w:bottom w:val="single" w:sz="12" w:space="0" w:color="000000"/>
            </w:tcBorders>
            <w:tcMar>
              <w:bottom w:w="28" w:type="dxa"/>
            </w:tcMar>
            <w:vAlign w:val="center"/>
          </w:tcPr>
          <w:p>
            <w:pPr>
              <w:pStyle w:val="TableContents"/>
              <w:bidi w:val="0"/>
              <w:spacing w:before="0" w:after="283"/>
              <w:jc w:val="left"/>
              <w:rPr/>
            </w:pPr>
            <w:r>
              <w:rPr/>
              <w:t>/s/ Tayla Levi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160" w:type="dxa"/>
            <w:tcBorders/>
            <w:vAlign w:val="center"/>
          </w:tcPr>
          <w:p>
            <w:pPr>
              <w:pStyle w:val="TableContents"/>
              <w:bidi w:val="0"/>
              <w:spacing w:before="0" w:after="283"/>
              <w:jc w:val="left"/>
              <w:rPr/>
            </w:pPr>
            <w:r>
              <w:rPr/>
              <w:t>Tayla Levi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160" w:type="dxa"/>
            <w:tcBorders/>
            <w:vAlign w:val="center"/>
          </w:tcPr>
          <w:p>
            <w:pPr>
              <w:pStyle w:val="TableContents"/>
              <w:bidi w:val="0"/>
              <w:spacing w:before="0" w:after="283"/>
              <w:jc w:val="left"/>
              <w:rPr/>
            </w:pPr>
            <w:r>
              <w:rPr/>
              <w:t>Deputy General Counsel</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75"/>
        <w:gridCol w:w="365"/>
        <w:gridCol w:w="2555"/>
      </w:tblGrid>
      <w:tr>
        <w:trPr/>
        <w:tc>
          <w:tcPr>
            <w:tcW w:w="75" w:type="dxa"/>
            <w:tcBorders/>
            <w:vAlign w:val="center"/>
          </w:tcPr>
          <w:p>
            <w:pPr>
              <w:pStyle w:val="TableContents"/>
              <w:bidi w:val="0"/>
              <w:spacing w:before="0" w:after="283"/>
              <w:jc w:val="left"/>
              <w:rPr/>
            </w:pPr>
            <w:r>
              <w:rPr/>
              <w:t> </w:t>
            </w:r>
          </w:p>
        </w:tc>
        <w:tc>
          <w:tcPr>
            <w:tcW w:w="2920" w:type="dxa"/>
            <w:gridSpan w:val="2"/>
            <w:tcBorders/>
            <w:vAlign w:val="center"/>
          </w:tcPr>
          <w:p>
            <w:pPr>
              <w:pStyle w:val="TableContents"/>
              <w:bidi w:val="0"/>
              <w:spacing w:before="0" w:after="283"/>
              <w:jc w:val="left"/>
              <w:rPr>
                <w:b/>
              </w:rPr>
            </w:pPr>
            <w:r>
              <w:rPr>
                <w:b/>
              </w:rPr>
              <w:t>QUIET VENTURE II, L.P.</w:t>
            </w:r>
          </w:p>
        </w:tc>
      </w:tr>
      <w:tr>
        <w:trPr/>
        <w:tc>
          <w:tcPr>
            <w:tcW w:w="75" w:type="dxa"/>
            <w:tcBorders/>
            <w:vAlign w:val="center"/>
          </w:tcPr>
          <w:p>
            <w:pPr>
              <w:pStyle w:val="TableContents"/>
              <w:bidi w:val="0"/>
              <w:spacing w:before="0" w:after="283"/>
              <w:jc w:val="left"/>
              <w:rPr/>
            </w:pPr>
            <w:r>
              <w:rPr/>
              <w:t> </w:t>
            </w:r>
          </w:p>
        </w:tc>
        <w:tc>
          <w:tcPr>
            <w:tcW w:w="29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555" w:type="dxa"/>
            <w:tcBorders/>
            <w:vAlign w:val="center"/>
          </w:tcPr>
          <w:p>
            <w:pPr>
              <w:pStyle w:val="TableContents"/>
              <w:bidi w:val="0"/>
              <w:spacing w:before="0" w:after="283"/>
              <w:jc w:val="left"/>
              <w:rPr/>
            </w:pPr>
            <w:r>
              <w:rPr/>
              <w:t>Quiet Venture II GP, LLC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Its:</w:t>
            </w:r>
          </w:p>
        </w:tc>
        <w:tc>
          <w:tcPr>
            <w:tcW w:w="2555" w:type="dxa"/>
            <w:tcBorders/>
            <w:vAlign w:val="center"/>
          </w:tcPr>
          <w:p>
            <w:pPr>
              <w:pStyle w:val="TableContents"/>
              <w:bidi w:val="0"/>
              <w:spacing w:before="0" w:after="283"/>
              <w:jc w:val="left"/>
              <w:rPr/>
            </w:pPr>
            <w:r>
              <w:rPr/>
              <w:t>General Partner</w:t>
            </w:r>
          </w:p>
        </w:tc>
      </w:tr>
    </w:tbl>
    <w:p>
      <w:pPr>
        <w:pStyle w:val="TextBody"/>
        <w:bidi w:val="0"/>
        <w:spacing w:before="0" w:after="0"/>
        <w:ind w:left="576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650"/>
        <w:gridCol w:w="239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90" w:type="dxa"/>
            <w:tcBorders>
              <w:bottom w:val="single" w:sz="12" w:space="0" w:color="000000"/>
            </w:tcBorders>
            <w:tcMar>
              <w:bottom w:w="28" w:type="dxa"/>
            </w:tcMar>
            <w:vAlign w:val="center"/>
          </w:tcPr>
          <w:p>
            <w:pPr>
              <w:pStyle w:val="TableContents"/>
              <w:bidi w:val="0"/>
              <w:spacing w:before="0" w:after="283"/>
              <w:jc w:val="left"/>
              <w:rPr/>
            </w:pPr>
            <w:r>
              <w:rPr/>
              <w:t>/s/ Tayla Levi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90" w:type="dxa"/>
            <w:tcBorders/>
            <w:vAlign w:val="center"/>
          </w:tcPr>
          <w:p>
            <w:pPr>
              <w:pStyle w:val="TableContents"/>
              <w:bidi w:val="0"/>
              <w:spacing w:before="0" w:after="283"/>
              <w:jc w:val="left"/>
              <w:rPr/>
            </w:pPr>
            <w:r>
              <w:rPr/>
              <w:t>Tayla Levi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90" w:type="dxa"/>
            <w:tcBorders/>
            <w:vAlign w:val="center"/>
          </w:tcPr>
          <w:p>
            <w:pPr>
              <w:pStyle w:val="TableContents"/>
              <w:bidi w:val="0"/>
              <w:spacing w:before="0" w:after="283"/>
              <w:jc w:val="left"/>
              <w:rPr/>
            </w:pPr>
            <w:r>
              <w:rPr/>
              <w:t>Deputy General Counsel</w:t>
            </w:r>
          </w:p>
        </w:tc>
      </w:tr>
    </w:tbl>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75"/>
        <w:gridCol w:w="365"/>
        <w:gridCol w:w="1940"/>
      </w:tblGrid>
      <w:tr>
        <w:trPr/>
        <w:tc>
          <w:tcPr>
            <w:tcW w:w="75" w:type="dxa"/>
            <w:tcBorders/>
            <w:vAlign w:val="center"/>
          </w:tcPr>
          <w:p>
            <w:pPr>
              <w:pStyle w:val="TableContents"/>
              <w:bidi w:val="0"/>
              <w:spacing w:before="0" w:after="283"/>
              <w:jc w:val="left"/>
              <w:rPr/>
            </w:pPr>
            <w:r>
              <w:rPr/>
              <w:t> </w:t>
            </w:r>
          </w:p>
        </w:tc>
        <w:tc>
          <w:tcPr>
            <w:tcW w:w="2305" w:type="dxa"/>
            <w:gridSpan w:val="2"/>
            <w:tcBorders/>
            <w:vAlign w:val="center"/>
          </w:tcPr>
          <w:p>
            <w:pPr>
              <w:pStyle w:val="TableContents"/>
              <w:bidi w:val="0"/>
              <w:spacing w:before="0" w:after="283"/>
              <w:jc w:val="left"/>
              <w:rPr>
                <w:b/>
              </w:rPr>
            </w:pPr>
            <w:r>
              <w:rPr>
                <w:b/>
              </w:rPr>
              <w:t>QUIET ML, LP</w:t>
            </w:r>
          </w:p>
        </w:tc>
      </w:tr>
      <w:tr>
        <w:trPr/>
        <w:tc>
          <w:tcPr>
            <w:tcW w:w="75" w:type="dxa"/>
            <w:tcBorders/>
            <w:vAlign w:val="center"/>
          </w:tcPr>
          <w:p>
            <w:pPr>
              <w:pStyle w:val="TableContents"/>
              <w:bidi w:val="0"/>
              <w:spacing w:before="0" w:after="283"/>
              <w:jc w:val="left"/>
              <w:rPr/>
            </w:pPr>
            <w:r>
              <w:rPr/>
              <w:t> </w:t>
            </w:r>
          </w:p>
        </w:tc>
        <w:tc>
          <w:tcPr>
            <w:tcW w:w="23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940" w:type="dxa"/>
            <w:tcBorders/>
            <w:vAlign w:val="center"/>
          </w:tcPr>
          <w:p>
            <w:pPr>
              <w:pStyle w:val="TableContents"/>
              <w:bidi w:val="0"/>
              <w:spacing w:before="0" w:after="283"/>
              <w:jc w:val="left"/>
              <w:rPr/>
            </w:pPr>
            <w:r>
              <w:rPr/>
              <w:t>Quiet ML GP, LLC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Its:</w:t>
            </w:r>
          </w:p>
        </w:tc>
        <w:tc>
          <w:tcPr>
            <w:tcW w:w="1940" w:type="dxa"/>
            <w:tcBorders/>
            <w:vAlign w:val="center"/>
          </w:tcPr>
          <w:p>
            <w:pPr>
              <w:pStyle w:val="TableContents"/>
              <w:bidi w:val="0"/>
              <w:spacing w:before="0" w:after="283"/>
              <w:jc w:val="left"/>
              <w:rPr/>
            </w:pPr>
            <w:r>
              <w:rPr/>
              <w:t>General Partner</w:t>
            </w:r>
          </w:p>
        </w:tc>
      </w:tr>
    </w:tbl>
    <w:p>
      <w:pPr>
        <w:pStyle w:val="TextBody"/>
        <w:bidi w:val="0"/>
        <w:spacing w:before="0" w:after="0"/>
        <w:ind w:left="576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650"/>
        <w:gridCol w:w="239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90" w:type="dxa"/>
            <w:tcBorders>
              <w:bottom w:val="single" w:sz="12" w:space="0" w:color="000000"/>
            </w:tcBorders>
            <w:tcMar>
              <w:bottom w:w="28" w:type="dxa"/>
            </w:tcMar>
            <w:vAlign w:val="center"/>
          </w:tcPr>
          <w:p>
            <w:pPr>
              <w:pStyle w:val="TableContents"/>
              <w:bidi w:val="0"/>
              <w:spacing w:before="0" w:after="283"/>
              <w:jc w:val="left"/>
              <w:rPr/>
            </w:pPr>
            <w:r>
              <w:rPr/>
              <w:t>/s/ Tayla Levi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90" w:type="dxa"/>
            <w:tcBorders/>
            <w:vAlign w:val="center"/>
          </w:tcPr>
          <w:p>
            <w:pPr>
              <w:pStyle w:val="TableContents"/>
              <w:bidi w:val="0"/>
              <w:spacing w:before="0" w:after="283"/>
              <w:jc w:val="left"/>
              <w:rPr/>
            </w:pPr>
            <w:r>
              <w:rPr/>
              <w:t>Tayla Levi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90" w:type="dxa"/>
            <w:tcBorders/>
            <w:vAlign w:val="center"/>
          </w:tcPr>
          <w:p>
            <w:pPr>
              <w:pStyle w:val="TableContents"/>
              <w:bidi w:val="0"/>
              <w:spacing w:before="0" w:after="283"/>
              <w:jc w:val="left"/>
              <w:rPr/>
            </w:pPr>
            <w:r>
              <w:rPr/>
              <w:t>Deputy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384" w:type="dxa"/>
        <w:jc w:val="left"/>
        <w:tblInd w:w="0" w:type="dxa"/>
        <w:tblLayout w:type="fixed"/>
        <w:tblCellMar>
          <w:top w:w="0" w:type="dxa"/>
          <w:left w:w="0" w:type="dxa"/>
          <w:bottom w:w="0" w:type="dxa"/>
          <w:right w:w="0" w:type="dxa"/>
        </w:tblCellMar>
      </w:tblPr>
      <w:tblGrid>
        <w:gridCol w:w="75"/>
        <w:gridCol w:w="403"/>
        <w:gridCol w:w="3906"/>
      </w:tblGrid>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b/>
              </w:rPr>
            </w:pPr>
            <w:r>
              <w:rPr>
                <w:b/>
              </w:rPr>
              <w:t>SCHOX VENTURE CAPITAL, LP – A4</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By:</w:t>
            </w:r>
          </w:p>
        </w:tc>
        <w:tc>
          <w:tcPr>
            <w:tcW w:w="3906" w:type="dxa"/>
            <w:tcBorders/>
            <w:vAlign w:val="center"/>
          </w:tcPr>
          <w:p>
            <w:pPr>
              <w:pStyle w:val="TableContents"/>
              <w:bidi w:val="0"/>
              <w:spacing w:before="0" w:after="283"/>
              <w:jc w:val="left"/>
              <w:rPr/>
            </w:pPr>
            <w:r>
              <w:rPr/>
              <w:t>Fund GP, LLC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Its:</w:t>
            </w:r>
          </w:p>
        </w:tc>
        <w:tc>
          <w:tcPr>
            <w:tcW w:w="3906"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39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By:</w:t>
            </w:r>
          </w:p>
        </w:tc>
        <w:tc>
          <w:tcPr>
            <w:tcW w:w="3906" w:type="dxa"/>
            <w:tcBorders/>
            <w:vAlign w:val="center"/>
          </w:tcPr>
          <w:p>
            <w:pPr>
              <w:pStyle w:val="TableContents"/>
              <w:bidi w:val="0"/>
              <w:spacing w:before="0" w:after="283"/>
              <w:jc w:val="left"/>
              <w:rPr/>
            </w:pPr>
            <w:r>
              <w:rPr/>
              <w:t>Belltower Fund Group, Ltd.</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Its:</w:t>
            </w:r>
          </w:p>
        </w:tc>
        <w:tc>
          <w:tcPr>
            <w:tcW w:w="3906" w:type="dxa"/>
            <w:tcBorders/>
            <w:vAlign w:val="center"/>
          </w:tcPr>
          <w:p>
            <w:pPr>
              <w:pStyle w:val="TableContents"/>
              <w:bidi w:val="0"/>
              <w:spacing w:before="0" w:after="283"/>
              <w:jc w:val="left"/>
              <w:rPr/>
            </w:pPr>
            <w:r>
              <w:rPr/>
              <w:t>Agent</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650"/>
        <w:gridCol w:w="1805"/>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1805" w:type="dxa"/>
            <w:tcBorders>
              <w:bottom w:val="single" w:sz="12" w:space="0" w:color="000000"/>
            </w:tcBorders>
            <w:tcMar>
              <w:bottom w:w="28" w:type="dxa"/>
            </w:tcMar>
            <w:vAlign w:val="center"/>
          </w:tcPr>
          <w:p>
            <w:pPr>
              <w:pStyle w:val="TableContents"/>
              <w:bidi w:val="0"/>
              <w:spacing w:before="0" w:after="283"/>
              <w:jc w:val="left"/>
              <w:rPr/>
            </w:pPr>
            <w:r>
              <w:rPr/>
              <w:t>/s/ Paul Larkin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805" w:type="dxa"/>
            <w:tcBorders/>
            <w:vAlign w:val="center"/>
          </w:tcPr>
          <w:p>
            <w:pPr>
              <w:pStyle w:val="TableContents"/>
              <w:bidi w:val="0"/>
              <w:spacing w:before="0" w:after="283"/>
              <w:jc w:val="left"/>
              <w:rPr/>
            </w:pPr>
            <w:r>
              <w:rPr/>
              <w:t>Paul Larkin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805" w:type="dxa"/>
            <w:tcBorders/>
            <w:vAlign w:val="center"/>
          </w:tcPr>
          <w:p>
            <w:pPr>
              <w:pStyle w:val="TableContents"/>
              <w:bidi w:val="0"/>
              <w:spacing w:before="0" w:after="283"/>
              <w:jc w:val="left"/>
              <w:rPr/>
            </w:pPr>
            <w:r>
              <w:rPr/>
              <w:t>Authorized Person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576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365"/>
        <w:gridCol w:w="3920"/>
      </w:tblGrid>
      <w:tr>
        <w:trPr/>
        <w:tc>
          <w:tcPr>
            <w:tcW w:w="7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b/>
              </w:rPr>
            </w:pPr>
            <w:r>
              <w:rPr>
                <w:b/>
              </w:rPr>
              <w:t>SNOWPOINT VENTURES, LP</w:t>
            </w:r>
          </w:p>
        </w:tc>
      </w:tr>
      <w:tr>
        <w:trPr/>
        <w:tc>
          <w:tcPr>
            <w:tcW w:w="7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920" w:type="dxa"/>
            <w:tcBorders/>
            <w:vAlign w:val="center"/>
          </w:tcPr>
          <w:p>
            <w:pPr>
              <w:pStyle w:val="TableContents"/>
              <w:bidi w:val="0"/>
              <w:spacing w:before="0" w:after="283"/>
              <w:jc w:val="left"/>
              <w:rPr/>
            </w:pPr>
            <w:r>
              <w:rPr/>
              <w:t>SnowPoint Ventures GP, LLC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Its:</w:t>
            </w:r>
          </w:p>
        </w:tc>
        <w:tc>
          <w:tcPr>
            <w:tcW w:w="3920" w:type="dxa"/>
            <w:tcBorders/>
            <w:vAlign w:val="center"/>
          </w:tcPr>
          <w:p>
            <w:pPr>
              <w:pStyle w:val="TableContents"/>
              <w:bidi w:val="0"/>
              <w:spacing w:before="0" w:after="283"/>
              <w:jc w:val="left"/>
              <w:rPr/>
            </w:pPr>
            <w:r>
              <w:rPr/>
              <w:t>General Partner</w:t>
            </w:r>
          </w:p>
        </w:tc>
      </w:tr>
    </w:tbl>
    <w:p>
      <w:pPr>
        <w:pStyle w:val="TextBody"/>
        <w:bidi w:val="0"/>
        <w:spacing w:before="0" w:after="0"/>
        <w:ind w:left="576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650"/>
        <w:gridCol w:w="254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540" w:type="dxa"/>
            <w:tcBorders>
              <w:bottom w:val="single" w:sz="12" w:space="0" w:color="000000"/>
            </w:tcBorders>
            <w:tcMar>
              <w:bottom w:w="28" w:type="dxa"/>
            </w:tcMar>
            <w:vAlign w:val="center"/>
          </w:tcPr>
          <w:p>
            <w:pPr>
              <w:pStyle w:val="TableContents"/>
              <w:bidi w:val="0"/>
              <w:spacing w:before="0" w:after="283"/>
              <w:jc w:val="left"/>
              <w:rPr/>
            </w:pPr>
            <w:r>
              <w:rPr/>
              <w:t>/s/ Alexander Creasey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540" w:type="dxa"/>
            <w:tcBorders/>
            <w:vAlign w:val="center"/>
          </w:tcPr>
          <w:p>
            <w:pPr>
              <w:pStyle w:val="TableContents"/>
              <w:bidi w:val="0"/>
              <w:spacing w:before="0" w:after="283"/>
              <w:jc w:val="left"/>
              <w:rPr/>
            </w:pPr>
            <w:r>
              <w:rPr/>
              <w:t>Alexander Creasey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540" w:type="dxa"/>
            <w:tcBorders/>
            <w:vAlign w:val="center"/>
          </w:tcPr>
          <w:p>
            <w:pPr>
              <w:pStyle w:val="TableContents"/>
              <w:bidi w:val="0"/>
              <w:spacing w:before="0" w:after="283"/>
              <w:jc w:val="left"/>
              <w:rPr/>
            </w:pPr>
            <w:r>
              <w:rPr/>
              <w:t>Managing General Partner</w:t>
            </w:r>
          </w:p>
        </w:tc>
      </w:tr>
    </w:tbl>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410"/>
        <w:gridCol w:w="3329"/>
      </w:tblGrid>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b/>
              </w:rPr>
            </w:pPr>
            <w:r>
              <w:rPr>
                <w:b/>
              </w:rPr>
              <w:t>SNOWPOINT GROWTH I.II, LLC</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By:</w:t>
            </w:r>
          </w:p>
        </w:tc>
        <w:tc>
          <w:tcPr>
            <w:tcW w:w="3329" w:type="dxa"/>
            <w:tcBorders/>
            <w:vAlign w:val="center"/>
          </w:tcPr>
          <w:p>
            <w:pPr>
              <w:pStyle w:val="TableContents"/>
              <w:bidi w:val="0"/>
              <w:spacing w:before="0" w:after="283"/>
              <w:jc w:val="left"/>
              <w:rPr/>
            </w:pPr>
            <w:r>
              <w:rPr/>
              <w:t>SnowPoint Ventures GP, LLC</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Its:</w:t>
            </w:r>
          </w:p>
        </w:tc>
        <w:tc>
          <w:tcPr>
            <w:tcW w:w="3329" w:type="dxa"/>
            <w:tcBorders/>
            <w:vAlign w:val="center"/>
          </w:tcPr>
          <w:p>
            <w:pPr>
              <w:pStyle w:val="TableContents"/>
              <w:bidi w:val="0"/>
              <w:spacing w:before="0" w:after="283"/>
              <w:jc w:val="left"/>
              <w:rPr/>
            </w:pPr>
            <w:r>
              <w:rPr/>
              <w:t>Manager</w:t>
            </w:r>
          </w:p>
        </w:tc>
      </w:tr>
    </w:tbl>
    <w:p>
      <w:pPr>
        <w:pStyle w:val="TextBody"/>
        <w:bidi w:val="0"/>
        <w:spacing w:before="0" w:after="0"/>
        <w:ind w:left="576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650"/>
        <w:gridCol w:w="254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540" w:type="dxa"/>
            <w:tcBorders>
              <w:bottom w:val="single" w:sz="12" w:space="0" w:color="000000"/>
            </w:tcBorders>
            <w:tcMar>
              <w:bottom w:w="28" w:type="dxa"/>
            </w:tcMar>
            <w:vAlign w:val="center"/>
          </w:tcPr>
          <w:p>
            <w:pPr>
              <w:pStyle w:val="TableContents"/>
              <w:bidi w:val="0"/>
              <w:spacing w:before="0" w:after="283"/>
              <w:jc w:val="left"/>
              <w:rPr/>
            </w:pPr>
            <w:r>
              <w:rPr/>
              <w:t>/s/ Alexander Creasey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540" w:type="dxa"/>
            <w:tcBorders/>
            <w:vAlign w:val="center"/>
          </w:tcPr>
          <w:p>
            <w:pPr>
              <w:pStyle w:val="TableContents"/>
              <w:bidi w:val="0"/>
              <w:spacing w:before="0" w:after="283"/>
              <w:jc w:val="left"/>
              <w:rPr/>
            </w:pPr>
            <w:r>
              <w:rPr/>
              <w:t>Alexander Creasey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540" w:type="dxa"/>
            <w:tcBorders/>
            <w:vAlign w:val="center"/>
          </w:tcPr>
          <w:p>
            <w:pPr>
              <w:pStyle w:val="TableContents"/>
              <w:bidi w:val="0"/>
              <w:spacing w:before="0" w:after="283"/>
              <w:jc w:val="left"/>
              <w:rPr/>
            </w:pPr>
            <w:r>
              <w:rPr/>
              <w:t>Managing General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149" w:type="dxa"/>
        <w:jc w:val="left"/>
        <w:tblInd w:w="0" w:type="dxa"/>
        <w:tblLayout w:type="fixed"/>
        <w:tblCellMar>
          <w:top w:w="0" w:type="dxa"/>
          <w:left w:w="0" w:type="dxa"/>
          <w:bottom w:w="0" w:type="dxa"/>
          <w:right w:w="0" w:type="dxa"/>
        </w:tblCellMar>
      </w:tblPr>
      <w:tblGrid>
        <w:gridCol w:w="75"/>
        <w:gridCol w:w="1210"/>
        <w:gridCol w:w="3864"/>
      </w:tblGrid>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b/>
              </w:rPr>
            </w:pPr>
            <w:r>
              <w:rPr>
                <w:b/>
              </w:rPr>
              <w:t>THE BOARD OF TRUSTEES OF THE</w:t>
              <w:br/>
              <w:t>LELAND STANFORD JUNIOR UNIVERSITY</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b/>
              </w:rPr>
            </w:pPr>
            <w:r>
              <w:rPr>
                <w:b/>
              </w:rPr>
              <w:t>(DAPER I)</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By:</w:t>
            </w:r>
          </w:p>
        </w:tc>
        <w:tc>
          <w:tcPr>
            <w:tcW w:w="3864" w:type="dxa"/>
            <w:tcBorders>
              <w:bottom w:val="single" w:sz="12" w:space="0" w:color="000000"/>
            </w:tcBorders>
            <w:tcMar>
              <w:bottom w:w="28" w:type="dxa"/>
            </w:tcMar>
            <w:vAlign w:val="center"/>
          </w:tcPr>
          <w:p>
            <w:pPr>
              <w:pStyle w:val="TableContents"/>
              <w:bidi w:val="0"/>
              <w:spacing w:before="0" w:after="283"/>
              <w:jc w:val="left"/>
              <w:rPr/>
            </w:pPr>
            <w:r>
              <w:rPr/>
              <w:t>/s/ Brian Favat</w:t>
            </w:r>
          </w:p>
        </w:tc>
      </w:tr>
      <w:tr>
        <w:trPr/>
        <w:tc>
          <w:tcPr>
            <w:tcW w:w="7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Name:</w:t>
            </w:r>
          </w:p>
        </w:tc>
        <w:tc>
          <w:tcPr>
            <w:tcW w:w="3864" w:type="dxa"/>
            <w:tcBorders/>
            <w:vAlign w:val="center"/>
          </w:tcPr>
          <w:p>
            <w:pPr>
              <w:pStyle w:val="TableContents"/>
              <w:bidi w:val="0"/>
              <w:spacing w:before="0" w:after="283"/>
              <w:jc w:val="left"/>
              <w:rPr/>
            </w:pPr>
            <w:r>
              <w:rPr/>
              <w:t>Brian Favat</w:t>
            </w:r>
          </w:p>
        </w:tc>
      </w:tr>
      <w:tr>
        <w:trPr/>
        <w:tc>
          <w:tcPr>
            <w:tcW w:w="7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Title:</w:t>
            </w:r>
          </w:p>
        </w:tc>
        <w:tc>
          <w:tcPr>
            <w:tcW w:w="3864"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650"/>
        <w:gridCol w:w="3290"/>
      </w:tblGrid>
      <w:tr>
        <w:trPr/>
        <w:tc>
          <w:tcPr>
            <w:tcW w:w="7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b/>
              </w:rPr>
            </w:pPr>
            <w:r>
              <w:rPr>
                <w:b/>
              </w:rPr>
              <w:t>SV ANGEL VII, L.L.C.</w:t>
            </w:r>
          </w:p>
        </w:tc>
      </w:tr>
      <w:tr>
        <w:trPr/>
        <w:tc>
          <w:tcPr>
            <w:tcW w:w="7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290" w:type="dxa"/>
            <w:tcBorders>
              <w:bottom w:val="single" w:sz="12" w:space="0" w:color="000000"/>
            </w:tcBorders>
            <w:tcMar>
              <w:bottom w:w="28" w:type="dxa"/>
            </w:tcMar>
            <w:vAlign w:val="center"/>
          </w:tcPr>
          <w:p>
            <w:pPr>
              <w:pStyle w:val="TableContents"/>
              <w:bidi w:val="0"/>
              <w:spacing w:before="0" w:after="283"/>
              <w:jc w:val="left"/>
              <w:rPr/>
            </w:pPr>
            <w:r>
              <w:rPr/>
              <w:t>/s/ Robert Pollak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290" w:type="dxa"/>
            <w:tcBorders/>
            <w:vAlign w:val="center"/>
          </w:tcPr>
          <w:p>
            <w:pPr>
              <w:pStyle w:val="TableContents"/>
              <w:bidi w:val="0"/>
              <w:spacing w:before="0" w:after="283"/>
              <w:jc w:val="left"/>
              <w:rPr/>
            </w:pPr>
            <w:r>
              <w:rPr/>
              <w:t>Robert Pollak</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290"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074" w:type="dxa"/>
        <w:jc w:val="left"/>
        <w:tblInd w:w="0" w:type="dxa"/>
        <w:tblLayout w:type="fixed"/>
        <w:tblCellMar>
          <w:top w:w="0" w:type="dxa"/>
          <w:left w:w="0" w:type="dxa"/>
          <w:bottom w:w="0" w:type="dxa"/>
          <w:right w:w="0" w:type="dxa"/>
        </w:tblCellMar>
      </w:tblPr>
      <w:tblGrid>
        <w:gridCol w:w="75"/>
        <w:gridCol w:w="651"/>
        <w:gridCol w:w="4348"/>
      </w:tblGrid>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b/>
              </w:rPr>
            </w:pPr>
            <w:r>
              <w:rPr>
                <w:b/>
              </w:rPr>
              <w:t>VENTURE LENDING &amp; LEASING VIII, LLC</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By:</w:t>
            </w:r>
          </w:p>
        </w:tc>
        <w:tc>
          <w:tcPr>
            <w:tcW w:w="4348" w:type="dxa"/>
            <w:tcBorders/>
            <w:vAlign w:val="center"/>
          </w:tcPr>
          <w:p>
            <w:pPr>
              <w:pStyle w:val="TableContents"/>
              <w:bidi w:val="0"/>
              <w:spacing w:before="0" w:after="283"/>
              <w:jc w:val="left"/>
              <w:rPr/>
            </w:pPr>
            <w:r>
              <w:rPr/>
              <w:t>Westech Investment Advisors LLC</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Its:</w:t>
            </w:r>
          </w:p>
        </w:tc>
        <w:tc>
          <w:tcPr>
            <w:tcW w:w="4348"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By:</w:t>
            </w:r>
          </w:p>
        </w:tc>
        <w:tc>
          <w:tcPr>
            <w:tcW w:w="4348" w:type="dxa"/>
            <w:tcBorders>
              <w:bottom w:val="single" w:sz="12" w:space="0" w:color="000000"/>
            </w:tcBorders>
            <w:tcMar>
              <w:bottom w:w="28" w:type="dxa"/>
            </w:tcMar>
            <w:vAlign w:val="center"/>
          </w:tcPr>
          <w:p>
            <w:pPr>
              <w:pStyle w:val="TableContents"/>
              <w:bidi w:val="0"/>
              <w:spacing w:before="0" w:after="283"/>
              <w:jc w:val="left"/>
              <w:rPr/>
            </w:pPr>
            <w:r>
              <w:rPr/>
              <w:t>/s/ Maurice Werdegar</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Name:</w:t>
            </w:r>
          </w:p>
        </w:tc>
        <w:tc>
          <w:tcPr>
            <w:tcW w:w="4348" w:type="dxa"/>
            <w:tcBorders/>
            <w:vAlign w:val="center"/>
          </w:tcPr>
          <w:p>
            <w:pPr>
              <w:pStyle w:val="TableContents"/>
              <w:bidi w:val="0"/>
              <w:spacing w:before="0" w:after="283"/>
              <w:jc w:val="left"/>
              <w:rPr/>
            </w:pPr>
            <w:r>
              <w:rPr/>
              <w:t>Maurice Werdegar</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Title:</w:t>
            </w:r>
          </w:p>
        </w:tc>
        <w:tc>
          <w:tcPr>
            <w:tcW w:w="4348" w:type="dxa"/>
            <w:tcBorders/>
            <w:vAlign w:val="center"/>
          </w:tcPr>
          <w:p>
            <w:pPr>
              <w:pStyle w:val="TableContents"/>
              <w:bidi w:val="0"/>
              <w:spacing w:before="0" w:after="283"/>
              <w:jc w:val="left"/>
              <w:rPr/>
            </w:pPr>
            <w:r>
              <w:rPr/>
              <w:t>Chairman</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b/>
              </w:rPr>
            </w:pPr>
            <w:r>
              <w:rPr>
                <w:b/>
              </w:rPr>
              <w:t>VENTURE LENDING &amp; LEASING IX, LLC</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By:</w:t>
            </w:r>
          </w:p>
        </w:tc>
        <w:tc>
          <w:tcPr>
            <w:tcW w:w="4348" w:type="dxa"/>
            <w:tcBorders/>
            <w:vAlign w:val="center"/>
          </w:tcPr>
          <w:p>
            <w:pPr>
              <w:pStyle w:val="TableContents"/>
              <w:bidi w:val="0"/>
              <w:spacing w:before="0" w:after="283"/>
              <w:jc w:val="left"/>
              <w:rPr/>
            </w:pPr>
            <w:r>
              <w:rPr/>
              <w:t>Venture Lending &amp; Leasing IX GP, LLC      </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Its:</w:t>
            </w:r>
          </w:p>
        </w:tc>
        <w:tc>
          <w:tcPr>
            <w:tcW w:w="4348" w:type="dxa"/>
            <w:tcBorders/>
            <w:vAlign w:val="center"/>
          </w:tcPr>
          <w:p>
            <w:pPr>
              <w:pStyle w:val="TableContents"/>
              <w:bidi w:val="0"/>
              <w:spacing w:before="0" w:after="283"/>
              <w:jc w:val="left"/>
              <w:rPr/>
            </w:pPr>
            <w:r>
              <w:rPr/>
              <w:t>Managing Member                                         </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By:</w:t>
            </w:r>
          </w:p>
        </w:tc>
        <w:tc>
          <w:tcPr>
            <w:tcW w:w="4348" w:type="dxa"/>
            <w:tcBorders/>
            <w:vAlign w:val="center"/>
          </w:tcPr>
          <w:p>
            <w:pPr>
              <w:pStyle w:val="TableContents"/>
              <w:bidi w:val="0"/>
              <w:spacing w:before="0" w:after="283"/>
              <w:jc w:val="left"/>
              <w:rPr/>
            </w:pPr>
            <w:r>
              <w:rPr/>
              <w:t>Westech Investment Advisors LLC</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Its:</w:t>
            </w:r>
          </w:p>
        </w:tc>
        <w:tc>
          <w:tcPr>
            <w:tcW w:w="4348"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By:</w:t>
            </w:r>
          </w:p>
        </w:tc>
        <w:tc>
          <w:tcPr>
            <w:tcW w:w="4348" w:type="dxa"/>
            <w:tcBorders>
              <w:bottom w:val="single" w:sz="12" w:space="0" w:color="000000"/>
            </w:tcBorders>
            <w:tcMar>
              <w:bottom w:w="28" w:type="dxa"/>
            </w:tcMar>
            <w:vAlign w:val="center"/>
          </w:tcPr>
          <w:p>
            <w:pPr>
              <w:pStyle w:val="TableContents"/>
              <w:bidi w:val="0"/>
              <w:spacing w:before="0" w:after="283"/>
              <w:jc w:val="left"/>
              <w:rPr/>
            </w:pPr>
            <w:r>
              <w:rPr/>
              <w:t xml:space="preserve">/s/ Maurice Werdegar </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Name:</w:t>
            </w:r>
          </w:p>
        </w:tc>
        <w:tc>
          <w:tcPr>
            <w:tcW w:w="4348" w:type="dxa"/>
            <w:tcBorders/>
            <w:vAlign w:val="center"/>
          </w:tcPr>
          <w:p>
            <w:pPr>
              <w:pStyle w:val="TableContents"/>
              <w:bidi w:val="0"/>
              <w:spacing w:before="0" w:after="283"/>
              <w:jc w:val="left"/>
              <w:rPr/>
            </w:pPr>
            <w:r>
              <w:rPr/>
              <w:t>Maurice Werdegar</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Title:</w:t>
            </w:r>
          </w:p>
        </w:tc>
        <w:tc>
          <w:tcPr>
            <w:tcW w:w="4348" w:type="dxa"/>
            <w:tcBorders/>
            <w:vAlign w:val="center"/>
          </w:tcPr>
          <w:p>
            <w:pPr>
              <w:pStyle w:val="TableContents"/>
              <w:bidi w:val="0"/>
              <w:spacing w:before="0" w:after="283"/>
              <w:jc w:val="left"/>
              <w:rPr/>
            </w:pPr>
            <w:r>
              <w:rPr/>
              <w:t>Chairman</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b/>
              </w:rPr>
            </w:pPr>
            <w:r>
              <w:rPr>
                <w:b/>
              </w:rPr>
              <w:t>WTI EQUITY OPPORTUNITY FUND I, L.P.</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a Delaware limited partnership</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By:</w:t>
            </w:r>
          </w:p>
        </w:tc>
        <w:tc>
          <w:tcPr>
            <w:tcW w:w="4348" w:type="dxa"/>
            <w:tcBorders>
              <w:bottom w:val="single" w:sz="12" w:space="0" w:color="000000"/>
            </w:tcBorders>
            <w:tcMar>
              <w:bottom w:w="28" w:type="dxa"/>
            </w:tcMar>
            <w:vAlign w:val="center"/>
          </w:tcPr>
          <w:p>
            <w:pPr>
              <w:pStyle w:val="TableContents"/>
              <w:bidi w:val="0"/>
              <w:spacing w:before="0" w:after="283"/>
              <w:jc w:val="left"/>
              <w:rPr/>
            </w:pPr>
            <w:r>
              <w:rPr/>
              <w:t>/s/ Maurice Werdegar</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Name:</w:t>
            </w:r>
          </w:p>
        </w:tc>
        <w:tc>
          <w:tcPr>
            <w:tcW w:w="4348" w:type="dxa"/>
            <w:tcBorders/>
            <w:vAlign w:val="center"/>
          </w:tcPr>
          <w:p>
            <w:pPr>
              <w:pStyle w:val="TableContents"/>
              <w:bidi w:val="0"/>
              <w:spacing w:before="0" w:after="283"/>
              <w:jc w:val="left"/>
              <w:rPr/>
            </w:pPr>
            <w:r>
              <w:rPr/>
              <w:t>Maurice Werdegar</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Title:</w:t>
            </w:r>
          </w:p>
        </w:tc>
        <w:tc>
          <w:tcPr>
            <w:tcW w:w="4348" w:type="dxa"/>
            <w:tcBorders/>
            <w:vAlign w:val="center"/>
          </w:tcPr>
          <w:p>
            <w:pPr>
              <w:pStyle w:val="TableContents"/>
              <w:bidi w:val="0"/>
              <w:spacing w:before="0" w:after="283"/>
              <w:jc w:val="left"/>
              <w:rPr/>
            </w:pPr>
            <w:r>
              <w:rPr/>
              <w:t>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650"/>
        <w:gridCol w:w="4400"/>
      </w:tblGrid>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b/>
              </w:rPr>
            </w:pPr>
            <w:r>
              <w:rPr>
                <w:b/>
              </w:rPr>
              <w:t>WTI FUND X, LLC</w:t>
            </w:r>
          </w:p>
        </w:tc>
      </w:tr>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400" w:type="dxa"/>
            <w:tcBorders/>
            <w:vAlign w:val="center"/>
          </w:tcPr>
          <w:p>
            <w:pPr>
              <w:pStyle w:val="TableContents"/>
              <w:bidi w:val="0"/>
              <w:spacing w:before="0" w:after="283"/>
              <w:jc w:val="left"/>
              <w:rPr/>
            </w:pPr>
            <w:r>
              <w:rPr/>
              <w:t>WTI Fund X GP, LLC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Its:</w:t>
            </w:r>
          </w:p>
        </w:tc>
        <w:tc>
          <w:tcPr>
            <w:tcW w:w="4400"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400" w:type="dxa"/>
            <w:tcBorders/>
            <w:vAlign w:val="center"/>
          </w:tcPr>
          <w:p>
            <w:pPr>
              <w:pStyle w:val="TableContents"/>
              <w:bidi w:val="0"/>
              <w:spacing w:before="0" w:after="283"/>
              <w:jc w:val="left"/>
              <w:rPr/>
            </w:pPr>
            <w:r>
              <w:rPr/>
              <w:t>Westech Investment Advisors LLC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Its:</w:t>
            </w:r>
          </w:p>
        </w:tc>
        <w:tc>
          <w:tcPr>
            <w:tcW w:w="4400"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400" w:type="dxa"/>
            <w:tcBorders>
              <w:bottom w:val="single" w:sz="12" w:space="0" w:color="000000"/>
            </w:tcBorders>
            <w:tcMar>
              <w:bottom w:w="28" w:type="dxa"/>
            </w:tcMar>
            <w:vAlign w:val="center"/>
          </w:tcPr>
          <w:p>
            <w:pPr>
              <w:pStyle w:val="TableContents"/>
              <w:bidi w:val="0"/>
              <w:spacing w:before="0" w:after="283"/>
              <w:jc w:val="left"/>
              <w:rPr/>
            </w:pPr>
            <w:r>
              <w:rPr/>
              <w:t>/s/ Maurice Werdegar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400" w:type="dxa"/>
            <w:tcBorders/>
            <w:vAlign w:val="center"/>
          </w:tcPr>
          <w:p>
            <w:pPr>
              <w:pStyle w:val="TableContents"/>
              <w:bidi w:val="0"/>
              <w:spacing w:before="0" w:after="283"/>
              <w:jc w:val="left"/>
              <w:rPr/>
            </w:pPr>
            <w:r>
              <w:rPr/>
              <w:t>Maurice Werdegar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400" w:type="dxa"/>
            <w:tcBorders/>
            <w:vAlign w:val="center"/>
          </w:tcPr>
          <w:p>
            <w:pPr>
              <w:pStyle w:val="TableContents"/>
              <w:bidi w:val="0"/>
              <w:spacing w:before="0" w:after="283"/>
              <w:jc w:val="left"/>
              <w:rPr/>
            </w:pPr>
            <w:r>
              <w:rPr/>
              <w:t>Chairman</w:t>
            </w:r>
          </w:p>
        </w:tc>
      </w:tr>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b/>
              </w:rPr>
            </w:pPr>
            <w:r>
              <w:rPr>
                <w:b/>
              </w:rPr>
              <w:t>WTI FUND XI, LLC</w:t>
            </w:r>
          </w:p>
        </w:tc>
      </w:tr>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400" w:type="dxa"/>
            <w:tcBorders/>
            <w:vAlign w:val="center"/>
          </w:tcPr>
          <w:p>
            <w:pPr>
              <w:pStyle w:val="TableContents"/>
              <w:bidi w:val="0"/>
              <w:spacing w:before="0" w:after="283"/>
              <w:jc w:val="left"/>
              <w:rPr/>
            </w:pPr>
            <w:r>
              <w:rPr/>
              <w:t>WTI Fund XI GP, LLC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Its:</w:t>
            </w:r>
          </w:p>
        </w:tc>
        <w:tc>
          <w:tcPr>
            <w:tcW w:w="4400"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400" w:type="dxa"/>
            <w:tcBorders/>
            <w:vAlign w:val="center"/>
          </w:tcPr>
          <w:p>
            <w:pPr>
              <w:pStyle w:val="TableContents"/>
              <w:bidi w:val="0"/>
              <w:spacing w:before="0" w:after="283"/>
              <w:jc w:val="left"/>
              <w:rPr/>
            </w:pPr>
            <w:r>
              <w:rPr/>
              <w:t>Westech Investment Advisors LLC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Its:</w:t>
            </w:r>
          </w:p>
        </w:tc>
        <w:tc>
          <w:tcPr>
            <w:tcW w:w="4400"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400" w:type="dxa"/>
            <w:tcBorders>
              <w:bottom w:val="single" w:sz="12" w:space="0" w:color="000000"/>
            </w:tcBorders>
            <w:tcMar>
              <w:bottom w:w="28" w:type="dxa"/>
            </w:tcMar>
            <w:vAlign w:val="center"/>
          </w:tcPr>
          <w:p>
            <w:pPr>
              <w:pStyle w:val="TableContents"/>
              <w:bidi w:val="0"/>
              <w:spacing w:before="0" w:after="283"/>
              <w:jc w:val="left"/>
              <w:rPr/>
            </w:pPr>
            <w:r>
              <w:rPr/>
              <w:t>/s/ Maurice Werdegar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400" w:type="dxa"/>
            <w:tcBorders/>
            <w:vAlign w:val="center"/>
          </w:tcPr>
          <w:p>
            <w:pPr>
              <w:pStyle w:val="TableContents"/>
              <w:bidi w:val="0"/>
              <w:spacing w:before="0" w:after="283"/>
              <w:jc w:val="left"/>
              <w:rPr/>
            </w:pPr>
            <w:r>
              <w:rPr/>
              <w:t>Maurice Werdegar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400" w:type="dxa"/>
            <w:tcBorders/>
            <w:vAlign w:val="center"/>
          </w:tcPr>
          <w:p>
            <w:pPr>
              <w:pStyle w:val="TableContents"/>
              <w:bidi w:val="0"/>
              <w:spacing w:before="0" w:after="283"/>
              <w:jc w:val="left"/>
              <w:rPr/>
            </w:pPr>
            <w:r>
              <w:rPr/>
              <w:t>Chairman</w:t>
            </w:r>
          </w:p>
        </w:tc>
      </w:tr>
    </w:tbl>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3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3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149" w:type="dxa"/>
        <w:jc w:val="left"/>
        <w:tblInd w:w="0" w:type="dxa"/>
        <w:tblLayout w:type="fixed"/>
        <w:tblCellMar>
          <w:top w:w="0" w:type="dxa"/>
          <w:left w:w="0" w:type="dxa"/>
          <w:bottom w:w="0" w:type="dxa"/>
          <w:right w:w="0" w:type="dxa"/>
        </w:tblCellMar>
      </w:tblPr>
      <w:tblGrid>
        <w:gridCol w:w="75"/>
        <w:gridCol w:w="738"/>
        <w:gridCol w:w="4336"/>
      </w:tblGrid>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b w:val="false"/>
                <w:i w:val="false"/>
                <w:caps w:val="false"/>
                <w:smallCaps w:val="false"/>
              </w:rPr>
            </w:pPr>
            <w:r>
              <w:rPr>
                <w:b/>
                <w:i w:val="false"/>
                <w:caps w:val="false"/>
                <w:smallCaps w:val="false"/>
              </w:rPr>
              <w:t>THE SCHIEHALLION FUND LIMITED,</w:t>
            </w:r>
            <w:r>
              <w:rPr>
                <w:b w:val="false"/>
                <w:i w:val="false"/>
                <w:caps w:val="false"/>
                <w:smallCaps w:val="false"/>
              </w:rPr>
              <w:t xml:space="preserve"> acting</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pPr>
            <w:r>
              <w:rPr/>
              <w:t>through its agent, Baillie Gifford Overseas Limited</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By:</w:t>
            </w:r>
          </w:p>
        </w:tc>
        <w:tc>
          <w:tcPr>
            <w:tcW w:w="4336" w:type="dxa"/>
            <w:tcBorders>
              <w:bottom w:val="single" w:sz="12" w:space="0" w:color="000000"/>
            </w:tcBorders>
            <w:tcMar>
              <w:bottom w:w="30" w:type="dxa"/>
            </w:tcMar>
            <w:vAlign w:val="center"/>
          </w:tcPr>
          <w:p>
            <w:pPr>
              <w:pStyle w:val="TableContents"/>
              <w:bidi w:val="0"/>
              <w:spacing w:before="0" w:after="283"/>
              <w:jc w:val="left"/>
              <w:rPr/>
            </w:pPr>
            <w:r>
              <w:rPr/>
              <w:t>/s/ Peter Singlehurst</w:t>
            </w:r>
          </w:p>
        </w:tc>
      </w:tr>
      <w:tr>
        <w:trPr/>
        <w:tc>
          <w:tcPr>
            <w:tcW w:w="75"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Name:</w:t>
            </w:r>
          </w:p>
        </w:tc>
        <w:tc>
          <w:tcPr>
            <w:tcW w:w="4336" w:type="dxa"/>
            <w:tcBorders/>
            <w:vAlign w:val="center"/>
          </w:tcPr>
          <w:p>
            <w:pPr>
              <w:pStyle w:val="TableContents"/>
              <w:bidi w:val="0"/>
              <w:spacing w:before="0" w:after="283"/>
              <w:jc w:val="left"/>
              <w:rPr/>
            </w:pPr>
            <w:r>
              <w:rPr/>
              <w:t>Peter Singlehurst</w:t>
            </w:r>
          </w:p>
        </w:tc>
      </w:tr>
      <w:tr>
        <w:trPr/>
        <w:tc>
          <w:tcPr>
            <w:tcW w:w="75"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Title:</w:t>
            </w:r>
          </w:p>
        </w:tc>
        <w:tc>
          <w:tcPr>
            <w:tcW w:w="4336" w:type="dxa"/>
            <w:tcBorders/>
            <w:vAlign w:val="center"/>
          </w:tcPr>
          <w:p>
            <w:pPr>
              <w:pStyle w:val="TableContents"/>
              <w:bidi w:val="0"/>
              <w:spacing w:before="0" w:after="283"/>
              <w:jc w:val="left"/>
              <w:rPr/>
            </w:pPr>
            <w:r>
              <w:rPr/>
              <w:t xml:space="preserve">Authorised Signatory of Baillie Gifford </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pPr>
            <w:r>
              <w:rPr/>
              <w:t>Overseas Limited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650"/>
        <w:gridCol w:w="3755"/>
      </w:tblGrid>
      <w:tr>
        <w:trPr/>
        <w:tc>
          <w:tcPr>
            <w:tcW w:w="75"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b/>
              </w:rPr>
            </w:pPr>
            <w:r>
              <w:rPr>
                <w:b/>
              </w:rPr>
              <w:t>BOOM CAPITAL FUND I, L.P.</w:t>
            </w:r>
          </w:p>
        </w:tc>
      </w:tr>
      <w:tr>
        <w:trPr/>
        <w:tc>
          <w:tcPr>
            <w:tcW w:w="75"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755" w:type="dxa"/>
            <w:tcBorders>
              <w:bottom w:val="single" w:sz="12" w:space="0" w:color="000000"/>
            </w:tcBorders>
            <w:tcMar>
              <w:bottom w:w="28" w:type="dxa"/>
            </w:tcMar>
            <w:vAlign w:val="center"/>
          </w:tcPr>
          <w:p>
            <w:pPr>
              <w:pStyle w:val="TableContents"/>
              <w:bidi w:val="0"/>
              <w:spacing w:before="0" w:after="283"/>
              <w:jc w:val="left"/>
              <w:rPr/>
            </w:pPr>
            <w:r>
              <w:rPr/>
              <w:t>/s/ Celestine Schnugg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755" w:type="dxa"/>
            <w:tcBorders/>
            <w:vAlign w:val="center"/>
          </w:tcPr>
          <w:p>
            <w:pPr>
              <w:pStyle w:val="TableContents"/>
              <w:bidi w:val="0"/>
              <w:spacing w:before="0" w:after="283"/>
              <w:jc w:val="left"/>
              <w:rPr/>
            </w:pPr>
            <w:r>
              <w:rPr/>
              <w:t>Celestine Schnugg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755" w:type="dxa"/>
            <w:tcBorders/>
            <w:vAlign w:val="center"/>
          </w:tcPr>
          <w:p>
            <w:pPr>
              <w:pStyle w:val="TableContents"/>
              <w:bidi w:val="0"/>
              <w:spacing w:before="0" w:after="283"/>
              <w:jc w:val="left"/>
              <w:rPr/>
            </w:pPr>
            <w:r>
              <w:rPr/>
              <w:t>General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159" w:type="dxa"/>
        <w:jc w:val="left"/>
        <w:tblInd w:w="0" w:type="dxa"/>
        <w:tblLayout w:type="fixed"/>
        <w:tblCellMar>
          <w:top w:w="0" w:type="dxa"/>
          <w:left w:w="0" w:type="dxa"/>
          <w:bottom w:w="0" w:type="dxa"/>
          <w:right w:w="0" w:type="dxa"/>
        </w:tblCellMar>
      </w:tblPr>
      <w:tblGrid>
        <w:gridCol w:w="75"/>
        <w:gridCol w:w="697"/>
        <w:gridCol w:w="3387"/>
      </w:tblGrid>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b/>
              </w:rPr>
            </w:pPr>
            <w:r>
              <w:rPr>
                <w:b/>
              </w:rPr>
              <w:t>SECURITYHOLDERS:</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b/>
              </w:rPr>
            </w:pPr>
            <w:r>
              <w:rPr>
                <w:b/>
              </w:rPr>
              <w:t>SHRUG I, a series of Shrug Capital, LP</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By:</w:t>
            </w:r>
          </w:p>
        </w:tc>
        <w:tc>
          <w:tcPr>
            <w:tcW w:w="3387" w:type="dxa"/>
            <w:tcBorders>
              <w:bottom w:val="single" w:sz="12" w:space="0" w:color="000000"/>
            </w:tcBorders>
            <w:tcMar>
              <w:bottom w:w="28" w:type="dxa"/>
            </w:tcMar>
            <w:vAlign w:val="center"/>
          </w:tcPr>
          <w:p>
            <w:pPr>
              <w:pStyle w:val="TableContents"/>
              <w:bidi w:val="0"/>
              <w:spacing w:before="0" w:after="283"/>
              <w:jc w:val="left"/>
              <w:rPr/>
            </w:pPr>
            <w:r>
              <w:rPr/>
              <w:t>Fund GP, LLC</w:t>
            </w:r>
          </w:p>
        </w:tc>
      </w:tr>
      <w:tr>
        <w:trPr/>
        <w:tc>
          <w:tcPr>
            <w:tcW w:w="7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Its:</w:t>
            </w:r>
          </w:p>
        </w:tc>
        <w:tc>
          <w:tcPr>
            <w:tcW w:w="3387"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By: Belltower Fund Group, Ltd.</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Its: Agent</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By:</w:t>
            </w:r>
          </w:p>
        </w:tc>
        <w:tc>
          <w:tcPr>
            <w:tcW w:w="3387" w:type="dxa"/>
            <w:tcBorders>
              <w:bottom w:val="single" w:sz="12" w:space="0" w:color="000000"/>
            </w:tcBorders>
            <w:tcMar>
              <w:bottom w:w="28" w:type="dxa"/>
            </w:tcMar>
            <w:vAlign w:val="center"/>
          </w:tcPr>
          <w:p>
            <w:pPr>
              <w:pStyle w:val="TableContents"/>
              <w:bidi w:val="0"/>
              <w:spacing w:before="0" w:after="283"/>
              <w:jc w:val="left"/>
              <w:rPr/>
            </w:pPr>
            <w:r>
              <w:rPr/>
              <w:t>/s/ Paul Larkin                             </w:t>
            </w:r>
          </w:p>
        </w:tc>
      </w:tr>
      <w:tr>
        <w:trPr/>
        <w:tc>
          <w:tcPr>
            <w:tcW w:w="7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Name:</w:t>
            </w:r>
          </w:p>
        </w:tc>
        <w:tc>
          <w:tcPr>
            <w:tcW w:w="3387" w:type="dxa"/>
            <w:tcBorders/>
            <w:vAlign w:val="center"/>
          </w:tcPr>
          <w:p>
            <w:pPr>
              <w:pStyle w:val="TableContents"/>
              <w:bidi w:val="0"/>
              <w:spacing w:before="0" w:after="283"/>
              <w:jc w:val="left"/>
              <w:rPr/>
            </w:pPr>
            <w:r>
              <w:rPr/>
              <w:t>Paul Larkin</w:t>
            </w:r>
          </w:p>
        </w:tc>
      </w:tr>
      <w:tr>
        <w:trPr/>
        <w:tc>
          <w:tcPr>
            <w:tcW w:w="7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Title:</w:t>
            </w:r>
          </w:p>
        </w:tc>
        <w:tc>
          <w:tcPr>
            <w:tcW w:w="3387" w:type="dxa"/>
            <w:tcBorders/>
            <w:vAlign w:val="center"/>
          </w:tcPr>
          <w:p>
            <w:pPr>
              <w:pStyle w:val="TableContents"/>
              <w:bidi w:val="0"/>
              <w:spacing w:before="0" w:after="283"/>
              <w:jc w:val="left"/>
              <w:rPr/>
            </w:pPr>
            <w:r>
              <w:rPr/>
              <w:t>Authorized Person</w:t>
            </w:r>
          </w:p>
        </w:tc>
      </w:tr>
    </w:tbl>
    <w:p>
      <w:pPr>
        <w:pStyle w:val="TextBody"/>
        <w:bidi w:val="0"/>
        <w:spacing w:before="0" w:after="0"/>
        <w:ind w:left="4348"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4348"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4348"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Acknowledgement and Agreement</w:t>
      </w:r>
    </w:p>
    <w:p>
      <w:pPr>
        <w:pStyle w:val="TextBody"/>
        <w:bidi w:val="0"/>
        <w:spacing w:before="0" w:after="0"/>
        <w:ind w:left="1499"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hereby acknowledge that I have received and reviewed this notice regarding the treatment of my equity upon the closing of the proposed business combination between Merlin Labs, Inc. and Inflection Point Acquisition Corp. IV.</w:t>
      </w:r>
    </w:p>
    <w:p>
      <w:pPr>
        <w:pStyle w:val="TextBody"/>
        <w:bidi w:val="0"/>
        <w:spacing w:before="0" w:after="0"/>
        <w:ind w:left="1499"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 have received and reviewed the Form of Seller Lock-Up Agreement attached hereto as Annex B (the “Lock-Up Agreement”). By signing below, I agree to be bound by the terms and conditions of the Lock-Up Agreement, effective as of the date of the Closing, and I understand that my signature below constitutes my execution of the Lock-Up Agreement as if I had signed the Lock-Up Agreement itself.</w:t>
      </w:r>
    </w:p>
    <w:p>
      <w:pPr>
        <w:pStyle w:val="TextBody"/>
        <w:bidi w:val="0"/>
        <w:spacing w:before="0" w:after="0"/>
        <w:ind w:left="1499" w:right="0" w:hanging="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1265"/>
        <w:gridCol w:w="2729"/>
        <w:gridCol w:w="75"/>
      </w:tblGrid>
      <w:tr>
        <w:trPr/>
        <w:tc>
          <w:tcPr>
            <w:tcW w:w="3994" w:type="dxa"/>
            <w:gridSpan w:val="2"/>
            <w:tcBorders/>
            <w:vAlign w:val="center"/>
          </w:tcPr>
          <w:p>
            <w:pPr>
              <w:pStyle w:val="TableContents"/>
              <w:bidi w:val="0"/>
              <w:spacing w:before="0" w:after="283"/>
              <w:jc w:val="left"/>
              <w:rPr>
                <w:b/>
              </w:rPr>
            </w:pPr>
            <w:r>
              <w:rPr>
                <w:b/>
              </w:rPr>
              <w:t>ACKNOWLEDGED AND AGREED:</w:t>
            </w:r>
          </w:p>
        </w:tc>
        <w:tc>
          <w:tcPr>
            <w:tcW w:w="75" w:type="dxa"/>
            <w:tcBorders/>
            <w:vAlign w:val="center"/>
          </w:tcPr>
          <w:p>
            <w:pPr>
              <w:pStyle w:val="TableContents"/>
              <w:bidi w:val="0"/>
              <w:spacing w:before="0" w:after="283"/>
              <w:jc w:val="left"/>
              <w:rPr/>
            </w:pPr>
            <w:r>
              <w:rPr/>
              <w:t> </w:t>
            </w:r>
          </w:p>
        </w:tc>
      </w:tr>
      <w:tr>
        <w:trPr/>
        <w:tc>
          <w:tcPr>
            <w:tcW w:w="39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Signature:</w:t>
            </w:r>
          </w:p>
        </w:tc>
        <w:tc>
          <w:tcPr>
            <w:tcW w:w="2729" w:type="dxa"/>
            <w:tcBorders/>
            <w:vAlign w:val="center"/>
          </w:tcPr>
          <w:p>
            <w:pPr>
              <w:pStyle w:val="TableContents"/>
              <w:bidi w:val="0"/>
              <w:spacing w:before="0" w:after="283"/>
              <w:jc w:val="left"/>
              <w:rPr/>
            </w:pPr>
            <w:r>
              <w:rPr/>
              <w:drawing>
                <wp:inline distT="0" distB="0" distL="0" distR="0">
                  <wp:extent cx="13620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1362075" cy="39052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39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94" w:type="dxa"/>
            <w:gridSpan w:val="2"/>
            <w:tcBorders/>
            <w:vAlign w:val="center"/>
          </w:tcPr>
          <w:p>
            <w:pPr>
              <w:pStyle w:val="TableContents"/>
              <w:bidi w:val="0"/>
              <w:spacing w:before="0" w:after="283"/>
              <w:jc w:val="left"/>
              <w:rPr/>
            </w:pPr>
            <w:r>
              <w:rPr/>
              <w:t>Date: March 16,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1077"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 </w:t>
      </w:r>
    </w:p>
    <w:p>
      <w:pPr>
        <w:pStyle w:val="TextBody"/>
        <w:bidi w:val="0"/>
        <w:spacing w:before="0" w:after="0"/>
        <w:ind w:left="1077"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SECURITYHOLDERS</w:t>
      </w:r>
    </w:p>
    <w:p>
      <w:pPr>
        <w:pStyle w:val="TextBody"/>
        <w:bidi w:val="0"/>
        <w:spacing w:before="0" w:after="0"/>
        <w:ind w:left="1077"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JOINDER TO LOCKUP AGREEMENT</w:t>
        <w:br/>
        <w:t>[ ● ], 20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Lockup Agreement, dated as of March 16, 2026, by and among Merlin,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the Securityholders (as defined therein) from time to time party thereto (as amended, supplemented or otherwise modified from time to time, the “</w:t>
      </w:r>
      <w:r>
        <w:rPr>
          <w:rFonts w:ascii="Times New Roman;Times;Serif" w:hAnsi="Times New Roman;Times;Serif"/>
          <w:b/>
          <w:i/>
          <w:caps w:val="false"/>
          <w:smallCaps w:val="false"/>
          <w:sz w:val="20"/>
        </w:rPr>
        <w:t>Lockup Agreement</w:t>
      </w:r>
      <w:r>
        <w:rPr>
          <w:rFonts w:ascii="Times New Roman;Times;Serif" w:hAnsi="Times New Roman;Times;Serif"/>
          <w:b w:val="false"/>
          <w:i w:val="false"/>
          <w:caps w:val="false"/>
          <w:smallCaps w:val="false"/>
          <w:sz w:val="20"/>
        </w:rPr>
        <w:t>”). Capitalized terms used but not otherwise defined herein shall have the meanings ascribed to such terms in the Lockup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undersigned holder of equity interests in the Company (the “</w:t>
      </w:r>
      <w:r>
        <w:rPr>
          <w:rFonts w:ascii="Times New Roman;Times;Serif" w:hAnsi="Times New Roman;Times;Serif"/>
          <w:b/>
          <w:i/>
          <w:caps w:val="false"/>
          <w:smallCaps w:val="false"/>
          <w:sz w:val="20"/>
        </w:rPr>
        <w:t>New Securityholder</w:t>
      </w:r>
      <w:r>
        <w:rPr>
          <w:rFonts w:ascii="Times New Roman;Times;Serif" w:hAnsi="Times New Roman;Times;Serif"/>
          <w:b w:val="false"/>
          <w:i w:val="false"/>
          <w:caps w:val="false"/>
          <w:smallCaps w:val="false"/>
          <w:sz w:val="20"/>
        </w:rPr>
        <w:t>”) agrees that this Joinder to the Lockup Agreement (this “</w:t>
      </w:r>
      <w:r>
        <w:rPr>
          <w:rFonts w:ascii="Times New Roman;Times;Serif" w:hAnsi="Times New Roman;Times;Serif"/>
          <w:b/>
          <w:i/>
          <w:caps w:val="false"/>
          <w:smallCaps w:val="false"/>
          <w:sz w:val="20"/>
        </w:rPr>
        <w:t>Joinder</w:t>
      </w:r>
      <w:r>
        <w:rPr>
          <w:rFonts w:ascii="Times New Roman;Times;Serif" w:hAnsi="Times New Roman;Times;Serif"/>
          <w:b w:val="false"/>
          <w:i w:val="false"/>
          <w:caps w:val="false"/>
          <w:smallCaps w:val="false"/>
          <w:sz w:val="20"/>
        </w:rPr>
        <w:t>”) is being executed and delivered for good and valuable consideration, the receipt and sufficiency of which are hereby acknowledged.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Securityholder hereby agrees to and does become party to the Lockup Agreement as a Securityholder. This Joinder shall serve as a counterpart signature page to the Lockup Agreement and by executing below, the New Securityholder is deemed to have executed the Lockup Agreement with the same force and effect as if originally named a party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may be executed and delivered (including by facsimile or other electronic transmission) in one or more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1078" w:right="0" w:hanging="0"/>
        <w:jc w:val="center"/>
        <w:rPr>
          <w:caps w:val="false"/>
          <w:smallCaps w:val="false"/>
        </w:rPr>
      </w:pPr>
      <w:r>
        <w:rPr>
          <w:caps w:val="false"/>
          <w:smallCaps w:val="false"/>
        </w:rPr>
        <w:t> </w:t>
      </w:r>
    </w:p>
    <w:p>
      <w:pPr>
        <w:pStyle w:val="TextBody"/>
        <w:bidi w:val="0"/>
        <w:spacing w:before="0" w:after="0"/>
        <w:ind w:left="107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1078" w:right="0" w:hanging="0"/>
        <w:jc w:val="center"/>
        <w:rPr>
          <w:caps w:val="false"/>
          <w:smallCaps w:val="false"/>
        </w:rPr>
      </w:pPr>
      <w:r>
        <w:rPr>
          <w:caps w:val="false"/>
          <w:smallCaps w:val="false"/>
        </w:rPr>
        <w:t> </w:t>
      </w:r>
    </w:p>
    <w:p>
      <w:pPr>
        <w:pStyle w:val="TextBody"/>
        <w:bidi w:val="0"/>
        <w:spacing w:before="0" w:after="0"/>
        <w:ind w:left="107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1078"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duly executed this Joinder as of the date first set forth above.</w:t>
      </w:r>
    </w:p>
    <w:p>
      <w:pPr>
        <w:pStyle w:val="TextBody"/>
        <w:bidi w:val="0"/>
        <w:spacing w:before="0" w:after="0"/>
        <w:ind w:left="5760" w:right="0" w:hanging="0"/>
        <w:jc w:val="left"/>
        <w:rPr>
          <w:caps w:val="false"/>
          <w:smallCaps w:val="false"/>
        </w:rPr>
      </w:pPr>
      <w:r>
        <w:rPr>
          <w:caps w:val="false"/>
          <w:smallCaps w:val="false"/>
        </w:rPr>
        <w:t> </w:t>
      </w:r>
    </w:p>
    <w:tbl>
      <w:tblPr>
        <w:tblW w:w="3154" w:type="dxa"/>
        <w:jc w:val="left"/>
        <w:tblInd w:w="0" w:type="dxa"/>
        <w:tblLayout w:type="fixed"/>
        <w:tblCellMar>
          <w:top w:w="0" w:type="dxa"/>
          <w:left w:w="0" w:type="dxa"/>
          <w:bottom w:w="0" w:type="dxa"/>
          <w:right w:w="0" w:type="dxa"/>
        </w:tblCellMar>
      </w:tblPr>
      <w:tblGrid>
        <w:gridCol w:w="75"/>
        <w:gridCol w:w="387"/>
        <w:gridCol w:w="2692"/>
      </w:tblGrid>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b/>
              </w:rPr>
            </w:pPr>
            <w:r>
              <w:rPr>
                <w:b/>
              </w:rPr>
              <w:t>MERLIN, INC.</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By:</w:t>
            </w:r>
          </w:p>
        </w:tc>
        <w:tc>
          <w:tcPr>
            <w:tcW w:w="269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2692"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2692"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b/>
              </w:rPr>
            </w:pPr>
            <w:r>
              <w:rPr>
                <w:b/>
              </w:rPr>
              <w:t>NEW SECURITYHOLDER:</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 ]</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By:</w:t>
            </w:r>
          </w:p>
        </w:tc>
        <w:tc>
          <w:tcPr>
            <w:tcW w:w="269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2692"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2692" w:type="dxa"/>
            <w:tcBorders/>
            <w:vAlign w:val="center"/>
          </w:tcPr>
          <w:p>
            <w:pPr>
              <w:pStyle w:val="TableContents"/>
              <w:bidi w:val="0"/>
              <w:spacing w:before="0" w:after="283"/>
              <w:jc w:val="left"/>
              <w:rPr/>
            </w:pPr>
            <w:r>
              <w:rPr/>
              <w:t>Title:</w:t>
            </w:r>
          </w:p>
        </w:tc>
      </w:tr>
    </w:tbl>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Joinder to Lock-Up Agreement]</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50" w:name="ea028257401ex10-4.htm"/>
      <w:bookmarkStart w:id="51" w:name="ksea028257401ex104"/>
      <w:bookmarkEnd w:id="50"/>
      <w:bookmarkEnd w:id="51"/>
      <w:r>
        <w:rPr>
          <w:b/>
        </w:rPr>
        <w:t>Exhibit 10.4</w:t>
      </w:r>
      <w:r>
        <w:br w:type="page"/>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REGISTRATION RIGHTS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March 16, 2026, is made and entered into by and among Merlin, Inc., a Delaware corporation (formerly known as Bleichroeder Acquisition Corp. I, a Cayman Islands exempted company, prior to the Domestication (as defined herein))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Bleichroeder Sponsor 1 LLC, a Delaware limited liability company (the “</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the members of the Sponsor identified on the signature pages hereto under “Other Sponsor Holders” (such members, together with the Sponsor, the “</w:t>
      </w:r>
      <w:r>
        <w:rPr>
          <w:rFonts w:ascii="Times New Roman;Times;Serif" w:hAnsi="Times New Roman;Times;Serif"/>
          <w:b/>
          <w:i/>
          <w:caps w:val="false"/>
          <w:smallCaps w:val="false"/>
          <w:sz w:val="20"/>
        </w:rPr>
        <w:t>Sponsor Holders</w:t>
      </w:r>
      <w:r>
        <w:rPr>
          <w:rFonts w:ascii="Times New Roman;Times;Serif" w:hAnsi="Times New Roman;Times;Serif"/>
          <w:b w:val="false"/>
          <w:i w:val="false"/>
          <w:caps w:val="false"/>
          <w:smallCaps w:val="false"/>
          <w:sz w:val="20"/>
        </w:rPr>
        <w:t>”), each of the undersigned parties listed on the signature page hereto under “PIPE Holders” (the “</w:t>
      </w:r>
      <w:r>
        <w:rPr>
          <w:rFonts w:ascii="Times New Roman;Times;Serif" w:hAnsi="Times New Roman;Times;Serif"/>
          <w:b/>
          <w:i/>
          <w:caps w:val="false"/>
          <w:smallCaps w:val="false"/>
          <w:sz w:val="20"/>
        </w:rPr>
        <w:t>PIPE Holders</w:t>
      </w:r>
      <w:r>
        <w:rPr>
          <w:rFonts w:ascii="Times New Roman;Times;Serif" w:hAnsi="Times New Roman;Times;Serif"/>
          <w:b w:val="false"/>
          <w:i w:val="false"/>
          <w:caps w:val="false"/>
          <w:smallCaps w:val="false"/>
          <w:sz w:val="20"/>
        </w:rPr>
        <w:t>”), each of the undersigned parties listed on the signature page hereto under “Merlin Holders” (the “</w:t>
      </w:r>
      <w:r>
        <w:rPr>
          <w:rFonts w:ascii="Times New Roman;Times;Serif" w:hAnsi="Times New Roman;Times;Serif"/>
          <w:b/>
          <w:i/>
          <w:caps w:val="false"/>
          <w:smallCaps w:val="false"/>
          <w:sz w:val="20"/>
        </w:rPr>
        <w:t>Merlin Holders</w:t>
      </w:r>
      <w:r>
        <w:rPr>
          <w:rFonts w:ascii="Times New Roman;Times;Serif" w:hAnsi="Times New Roman;Times;Serif"/>
          <w:b w:val="false"/>
          <w:i w:val="false"/>
          <w:caps w:val="false"/>
          <w:smallCaps w:val="false"/>
          <w:sz w:val="20"/>
        </w:rPr>
        <w:t xml:space="preserve">” and each such party, together with the Sponsor and the Sponsor Holders and any Person who hereafter becomes a party to this Agreement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a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certain Sponsor Holders are party to that certain Registration Rights Agreement, dated as of October 31, 2024 (the “</w:t>
      </w:r>
      <w:r>
        <w:rPr>
          <w:rFonts w:ascii="Times New Roman;Times;Serif" w:hAnsi="Times New Roman;Times;Serif"/>
          <w:b/>
          <w:i/>
          <w:caps w:val="false"/>
          <w:smallCaps w:val="false"/>
          <w:sz w:val="20"/>
        </w:rPr>
        <w:t>Original RRA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is party to that certain Business Combination Agreement, dated as of August 13, 2025 (as the same may be amended, restated, amended and restated, supplemented or otherwise modified from time to time, the “</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by and among the Company, IPDX Merger Sub, Inc., a Delaware corporation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and Merlin Labs, Inc., a Delaware corporation (“</w:t>
      </w:r>
      <w:r>
        <w:rPr>
          <w:rFonts w:ascii="Times New Roman;Times;Serif" w:hAnsi="Times New Roman;Times;Serif"/>
          <w:b/>
          <w:i/>
          <w:caps w:val="false"/>
          <w:smallCaps w:val="false"/>
          <w:sz w:val="20"/>
        </w:rPr>
        <w:t>Legacy Merlin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prior to the date hereof and subject to the conditions of the Business Combination Agreement, the Company transferred by way of continuation to and domesticated as a Delaware corporation in accordance with Section 388 of the Delaware General Corporation Law, as amended, and the Companies Act (as revised) of the Cayman Islands (the “</w:t>
      </w:r>
      <w:r>
        <w:rPr>
          <w:rFonts w:ascii="Times New Roman;Times;Serif" w:hAnsi="Times New Roman;Times;Serif"/>
          <w:b/>
          <w:i/>
          <w:caps w:val="false"/>
          <w:smallCaps w:val="false"/>
          <w:sz w:val="20"/>
        </w:rPr>
        <w:t>Domestication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prior to the Domestication, the Sponsor owned, in aggregate, (i) 8,333,333 Class B ordinary shares of the Company and (ii) 425,000 private placement units of the Company, each consisting of one Class A ordinary share of the Company and one right to receive one-tenth of one Class A ordinary share of the Company upon consummation of the Company’s initial business combination;</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(i) immediately prior to the Domestication, each then issued and outstanding Class B ordinary share of the Company was converted on a one-for-one basis into a Class A ordinary share of the Company and (ii) in connection with the Domestication, (x) each then issued and outstanding Class A ordinary share of the Company was converted automatically, on a one-for-one basis, into a share of common stock of the Company, par value $0.0001 per shares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(y) each then issued and outstanding right of the Company converted automatically into one-tenth of one share of Common Stock; and (z) each then issued and outstanding unit of Company was cancelled and thereafter entitled the holder thereof to 1.1 shares of Common Stock, with any fractional shares of Common Stock to be issued in connection with such separation rounded down to the nearest whole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pursuant to the Business Combination Agreement, on the date hereof, Legacy Merlin merged with and into Merger Sub with Legacy Merlin continuing as the surviving corporation and as a direct, wholly owned subsidiary of the Company (the “</w:t>
      </w:r>
      <w:r>
        <w:rPr>
          <w:rFonts w:ascii="Times New Roman;Times;Serif" w:hAnsi="Times New Roman;Times;Serif"/>
          <w:b/>
          <w:i/>
          <w:caps w:val="false"/>
          <w:smallCaps w:val="false"/>
          <w:sz w:val="20"/>
        </w:rPr>
        <w:t>Business Combination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on the date hereof, in connection with the Closing of the Business Combination, the Company issued 70,512,611 shares of Common Stock to the Merlin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Business Combination Agreement, on the date hereof, the holders Legacy Merlin’s convertible promissory notes received shares of 12% Series A Cumulative Convertible Preferred Common Stock, par value $0.0001 per share, of the Company (the “</w:t>
      </w:r>
      <w:r>
        <w:rPr>
          <w:rFonts w:ascii="Times New Roman;Times;Serif" w:hAnsi="Times New Roman;Times;Serif"/>
          <w:b/>
          <w:i/>
          <w:caps w:val="false"/>
          <w:smallCaps w:val="false"/>
          <w:sz w:val="20"/>
        </w:rPr>
        <w:t>Series A Preferred Stock</w:t>
      </w:r>
      <w:r>
        <w:rPr>
          <w:rFonts w:ascii="Times New Roman;Times;Serif" w:hAnsi="Times New Roman;Times;Serif"/>
          <w:b w:val="false"/>
          <w:i w:val="false"/>
          <w:caps w:val="false"/>
          <w:smallCaps w:val="false"/>
          <w:sz w:val="20"/>
        </w:rPr>
        <w:t>”) in exchange for such convertible promissory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Business Combination Agreement, on the date hereof, the holders of Legacy Merlin’s Preferred Investor Warrants received warrants to purchase Common Stock (the “</w:t>
      </w:r>
      <w:r>
        <w:rPr>
          <w:rFonts w:ascii="Times New Roman;Times;Serif" w:hAnsi="Times New Roman;Times;Serif"/>
          <w:b/>
          <w:i/>
          <w:caps w:val="false"/>
          <w:smallCaps w:val="false"/>
          <w:sz w:val="20"/>
        </w:rPr>
        <w:t>Series A Investor Warrants</w:t>
      </w:r>
      <w:r>
        <w:rPr>
          <w:rFonts w:ascii="Times New Roman;Times;Serif" w:hAnsi="Times New Roman;Times;Serif"/>
          <w:b w:val="false"/>
          <w:i w:val="false"/>
          <w:caps w:val="false"/>
          <w:smallCaps w:val="false"/>
          <w:sz w:val="20"/>
        </w:rPr>
        <w:t>”) in exchange for such Preferred Investor Warrants;</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date hereof, the Company issued an additional 11,470,590 shares of Series A Preferred Stock and additional Series A Investor Warrants to purchase an aggregate of 11,053,924 shares of Common Stock (subject to adjustment) to certain investors pursuant to those certain Securities Purchase Agreements, by and among the Company and such investors or other securities purchase agreements regarding the Series A Preferred Stock and Series A Investor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Section 5.5 of the Original RRA, the provisions, covenants and conditions set forth therein may be amended or modified upon the written consent of the Company and the Holders (as defined in the Original RRA) (the “</w:t>
      </w:r>
      <w:r>
        <w:rPr>
          <w:rFonts w:ascii="Times New Roman;Times;Serif" w:hAnsi="Times New Roman;Times;Serif"/>
          <w:b/>
          <w:i/>
          <w:caps w:val="false"/>
          <w:smallCaps w:val="false"/>
          <w:sz w:val="20"/>
        </w:rPr>
        <w:t>Original Holders</w:t>
      </w:r>
      <w:r>
        <w:rPr>
          <w:rFonts w:ascii="Times New Roman;Times;Serif" w:hAnsi="Times New Roman;Times;Serif"/>
          <w:b w:val="false"/>
          <w:i w:val="false"/>
          <w:caps w:val="false"/>
          <w:smallCaps w:val="false"/>
          <w:sz w:val="20"/>
        </w:rPr>
        <w:t>”) of at least a majority in interest of the Registrable Securities (as defined in the Original RRA) (the “</w:t>
      </w:r>
      <w:r>
        <w:rPr>
          <w:rFonts w:ascii="Times New Roman;Times;Serif" w:hAnsi="Times New Roman;Times;Serif"/>
          <w:b/>
          <w:i/>
          <w:caps w:val="false"/>
          <w:smallCaps w:val="false"/>
          <w:sz w:val="20"/>
        </w:rPr>
        <w:t>Original Registrable Securities</w:t>
      </w:r>
      <w:r>
        <w:rPr>
          <w:rFonts w:ascii="Times New Roman;Times;Serif" w:hAnsi="Times New Roman;Times;Serif"/>
          <w:b w:val="false"/>
          <w:i w:val="false"/>
          <w:caps w:val="false"/>
          <w:smallCaps w:val="false"/>
          <w:sz w:val="20"/>
        </w:rPr>
        <w:t>”) at the time in question, and the Sponsor Holders party hereto are Original Holders of at least a majority in interest of the Original Registrable Securities as of the date hereof;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consummation of the transactions described above, the Company and the Original Holders desire to amend and restate the Original RRA in its entirety as set forth herein, and the Company and the Holders desire to enter into this Agreement, pursuant to which the Company shall grant the Holders certain registration rights with respect to the Registrable Securities (as defined below) 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 </w:t>
        <w:br/>
        <w:t>DEFINITIONS</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The terms defined in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shall, for all purposes of this Agreement, have the respective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Additional Holder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Additional Holder Common Stock</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Adverse Disclosure</w:t>
      </w:r>
      <w:r>
        <w:rPr>
          <w:rFonts w:ascii="Times New Roman;Times;Serif" w:hAnsi="Times New Roman;Times;Serif"/>
          <w:b w:val="false"/>
          <w:i w:val="false"/>
          <w:caps w:val="false"/>
          <w:smallCaps w:val="false"/>
          <w:sz w:val="20"/>
        </w:rPr>
        <w:t xml:space="preserve">” shall mean any public disclosure of material non-public information, which disclosure, in the good faith judgment of the Chief Executive Officer or Chief Financial Officer of the Company or the Board, in each case, after consultation with counsel to the Company, (i) 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business purpose for not making such information 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 day other than a Saturday, Sunday or other day on which commercial banks in New York, New York are authorized or required by Law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have the meaning given in the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shall have the meaning given in the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shall mean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shall have the meaning given in the Preamble hereto and includes the Company’s successors by recapitalization, merger, consolidation, spin-off, reorganization or similar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Competing Registration Rights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Demanding Holder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shall mean the U.S. Securities Exchange Act of 1934, as it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Floor Price</w:t>
      </w:r>
      <w:r>
        <w:rPr>
          <w:rFonts w:ascii="Times New Roman;Times;Serif" w:hAnsi="Times New Roman;Times;Serif"/>
          <w:b w:val="false"/>
          <w:i w:val="false"/>
          <w:caps w:val="false"/>
          <w:smallCaps w:val="false"/>
          <w:sz w:val="20"/>
        </w:rPr>
        <w:t>” shall mean $5.00.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shall mean the Financial Industry Regulatory Authority,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Form S-1 Shelf</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Form S-3 Shelf</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federal, state, local, foreign or other governmental, quasi- governmental or administrative body, instrumentality, department or agency or any court, tribunal, administrative hearing body, arbitration panel, commission, or other similar dispute-resolving panel or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 Information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caps w:val="false"/>
          <w:smallCaps w:val="false"/>
        </w:rPr>
      </w:pPr>
      <w:r>
        <w:rPr>
          <w:caps w:val="false"/>
          <w:smallCaps w:val="false"/>
        </w:rPr>
        <w:t>“</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shall have the meaning given in the Preamble hereto, for so long as such Person holds any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Joinder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shall mean any federal, state, local, municipal, foreign or other law, statute, legislation, principle of common law, ordinance, code, edict, decree, proclamation, treaty, convention, rule, regulation, directive, requirement, writ, injunction, settlement, order or consent that is or has been issued, enacted, adopted, passed, approved, promulgated, made, implemented or otherwise put into effect by or under the authority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Legacy Merlin</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Legal Proceeding</w:t>
      </w:r>
      <w:r>
        <w:rPr>
          <w:rFonts w:ascii="Times New Roman;Times;Serif" w:hAnsi="Times New Roman;Times;Serif"/>
          <w:b w:val="false"/>
          <w:i w:val="false"/>
          <w:caps w:val="false"/>
          <w:smallCaps w:val="false"/>
          <w:sz w:val="20"/>
        </w:rPr>
        <w:t>” means any notice of noncompliance or violation, or any claim, demand, charge, action, suit, litigation, audit, settlement, complaint, stipulation, assessment or arbitration, or any request (including any request for information), inquiry, hearing, proceeding or investigation, by or before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Lock-Up Agreements</w:t>
      </w:r>
      <w:r>
        <w:rPr>
          <w:rFonts w:ascii="Times New Roman;Times;Serif" w:hAnsi="Times New Roman;Times;Serif"/>
          <w:b w:val="false"/>
          <w:i w:val="false"/>
          <w:caps w:val="false"/>
          <w:smallCaps w:val="false"/>
          <w:sz w:val="20"/>
        </w:rPr>
        <w:t>” means the Merlin Holder Lock-Up Agreement and the Sponsor Holder Lock-Up Agreement, collectively.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 shall mean (a) with respect to the Sponsor Holders and their respective Permitted Transferees, the lock-up period specified with respect to a party in the Sponsor Holder Lock-Up Agreement and (b) with respect to the Merlin Holders and their respective Permitted Transferees, the lock- up period specified with respect to a party in the Merlin Holder Lock-Up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Maximum Number of Securities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Merlin Holders</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Merlin Holders Lock-Up Agreement</w:t>
      </w:r>
      <w:r>
        <w:rPr>
          <w:rFonts w:ascii="Times New Roman;Times;Serif" w:hAnsi="Times New Roman;Times;Serif"/>
          <w:b w:val="false"/>
          <w:i w:val="false"/>
          <w:caps w:val="false"/>
          <w:smallCaps w:val="false"/>
          <w:sz w:val="20"/>
        </w:rPr>
        <w:t>” means the lock-up agreement, dated March 16, 2026, entered into by the Company and the Merlin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Minimum Takedown Threshold</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Misstatement</w:t>
      </w:r>
      <w:r>
        <w:rPr>
          <w:rFonts w:ascii="Times New Roman;Times;Serif" w:hAnsi="Times New Roman;Times;Serif"/>
          <w:b w:val="false"/>
          <w:i w:val="false"/>
          <w:caps w:val="false"/>
          <w:smallCaps w:val="false"/>
          <w:sz w:val="20"/>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Original Registrable Securities</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Original RRA</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Coordinated Offering</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2.4.1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Transferees</w:t>
      </w:r>
      <w:r>
        <w:rPr>
          <w:rFonts w:ascii="Times New Roman;Times;Serif" w:hAnsi="Times New Roman;Times;Serif"/>
          <w:b w:val="false"/>
          <w:i w:val="false"/>
          <w:caps w:val="false"/>
          <w:smallCaps w:val="false"/>
          <w:sz w:val="20"/>
        </w:rPr>
        <w:t>” means persons to whom a holder of Registrable Securities is permitted to transfer such Registrable Securities prior to the expiration of the applicable Lock-Up Period pursuant to the applicable Lock-Up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Piggyback Registration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shall mean the prospectus included in any Registration Statement, as supplemented by any and all prospectus supplements and as amended by any and all post-effective amendments and including all material incorporated by reference in such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Registrable Security</w:t>
      </w:r>
      <w:r>
        <w:rPr>
          <w:rFonts w:ascii="Times New Roman;Times;Serif" w:hAnsi="Times New Roman;Times;Serif"/>
          <w:b w:val="false"/>
          <w:i w:val="false"/>
          <w:caps w:val="false"/>
          <w:smallCaps w:val="false"/>
          <w:sz w:val="20"/>
        </w:rPr>
        <w:t xml:space="preserve">” shall mean (i) any outstanding shares of Common Stock held by a Holder immediately following the Closing, (ii) any shares of Common Stock that may be acquired by Holders upon the exercise, conversion or redemption of any other security of the Company or other right to acquire Common Stock held by a Holder immediately following the Closing, (iii) any outstanding shares of Common Stock or any other equity security of the Company held by a Holder following the date hereof to the extent that such securities are “restricted securities” (as defined in Rule 144) or are otherwise held by an “affiliate” (as defined in Rule 144) of the Company and (iv) any other equity security of the Company issued or issuable with respect to any securities referenced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above by way of a stock dividend or stock split or in connection with a combination of shares, recapitalization, merger, consolidation, spin-off, reorganization or similar transaction;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as to any particular Registrable Security, such securities shall cease to be Registrable Securities upon the earliest to occur of the following events: (i) a Registration Statement with respect to the sale of such securities shall have become effective under the Securities Act and such securities shall have been sold, transferred, disposed of or exchanged in accordance with such Registration Statement by the applicable Holder to a Person that is not an “affiliate” (as defined in Rule 144) of the Company and new certificates for such securities not bearing (or book-entry positions not subject to) a legend restricting further transfer shall have been delivered by the Company and subsequent public distribution of such securities shall not require registration under the Securities Act; (ii) such securities shall have been otherwise transferred, new certificates for such securities not bearing (or book-entry positions not subject to) a legend restricting further transfer shall have been delivered by the Company and subsequent public distribution of such securities shall not require registration under the Securities Act; (iii) such securities shall have ceased to be outstanding; (iv) such securities may be sold without registration pursuant to Rule 144 (but with no volume or other restrictions or limitations including as to manner or timing of sale or current public information requirements); and (v) such securities have been sold to, or through, a broker, dealer or underwriter in a public distribution or other public securities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 Expenses</w:t>
      </w:r>
      <w:r>
        <w:rPr>
          <w:rFonts w:ascii="Times New Roman;Times;Serif" w:hAnsi="Times New Roman;Times;Serif"/>
          <w:b w:val="false"/>
          <w:i w:val="false"/>
          <w:caps w:val="false"/>
          <w:smallCaps w:val="false"/>
          <w:sz w:val="20"/>
        </w:rPr>
        <w:t>” shall mean the documented, out-of-pocket expenses of a Registration, including, without limitation,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registration, listing and filing fees (including fees with respect to filings required to be made with FINRA) and any national securities exchange on which the Common Stock is then listed;</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fees and expenses of compliance with securities or blue sky laws (including reasonable fees and disbursements of counsel for the Underwriters in connection with blue sky qualifications of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printing, messenger, telephone and delivery expenses;</w:t>
      </w:r>
    </w:p>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reasonable fees and disbursements of counsel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reasonable fees and disbursements of all independent registered public accountants of the Company incurred specifically in connection with such Registration;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reasonable fees and expenses of one (1) legal counsel selected by the majority in interest of the Demanding Holders in an Underwritten Offering or Other Coordinated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shall mean any registration statement that covers Registrable Securities pursuant to the provisions of this Agreement, including any Shelf, and, in each case, including the Prospectus included in such registration statement, amendments (including post-effective amendments) and supplements to such registration statement and all exhibits to, and all material incorporated by reference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Requesting Holders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shall mean Rule 144 promulgated under the Securities Act, as amended from time to time, or any similar successor rule thereto that may be promulgated by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shall mean the U.S. Securities Act of 1933,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Investor Warrants</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Preferred Stock</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Shelf</w:t>
      </w:r>
      <w:r>
        <w:rPr>
          <w:rFonts w:ascii="Times New Roman;Times;Serif" w:hAnsi="Times New Roman;Times;Serif"/>
          <w:b w:val="false"/>
          <w:i w:val="false"/>
          <w:caps w:val="false"/>
          <w:smallCaps w:val="false"/>
          <w:sz w:val="20"/>
        </w:rPr>
        <w:t>” shall mean the Form S-1 Shelf, the Form S-3 Shelf, or any Subsequent Shelf Registration,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Shelf Registration</w:t>
      </w:r>
      <w:r>
        <w:rPr>
          <w:rFonts w:ascii="Times New Roman;Times;Serif" w:hAnsi="Times New Roman;Times;Serif"/>
          <w:b w:val="false"/>
          <w:i w:val="false"/>
          <w:caps w:val="false"/>
          <w:smallCaps w:val="false"/>
          <w:sz w:val="20"/>
        </w:rPr>
        <w:t>” shall mean a registration of securities pursuant to a registration statement filed with the Commission in accordance with and pursuant to Rule 415 promulgated under the Securities Act, as amended from time to time, or any similar successor rule thereto that may be promulgated by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Shelf Takedown</w:t>
      </w:r>
      <w:r>
        <w:rPr>
          <w:rFonts w:ascii="Times New Roman;Times;Serif" w:hAnsi="Times New Roman;Times;Serif"/>
          <w:b w:val="false"/>
          <w:i w:val="false"/>
          <w:caps w:val="false"/>
          <w:smallCaps w:val="false"/>
          <w:sz w:val="20"/>
        </w:rPr>
        <w:t>” shall mean an Underwritten Shelf Takedown or any proposed transfer or sale using a Registration Statement, including a Piggyback Registration.</w:t>
      </w:r>
    </w:p>
    <w:p>
      <w:pPr>
        <w:pStyle w:val="TextBody"/>
        <w:bidi w:val="0"/>
        <w:spacing w:before="0" w:after="0"/>
        <w:ind w:left="0" w:right="0" w:hanging="56"/>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56"/>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 Holders</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 Holders Lock-Up Agreement</w:t>
      </w:r>
      <w:r>
        <w:rPr>
          <w:rFonts w:ascii="Times New Roman;Times;Serif" w:hAnsi="Times New Roman;Times;Serif"/>
          <w:b w:val="false"/>
          <w:i w:val="false"/>
          <w:caps w:val="false"/>
          <w:smallCaps w:val="false"/>
          <w:sz w:val="20"/>
        </w:rPr>
        <w:t>” means the lock-up agreement, dated March 16, 2026, entered into by the Company and the Sponsor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 Majority Holders</w:t>
      </w:r>
      <w:r>
        <w:rPr>
          <w:rFonts w:ascii="Times New Roman;Times;Serif" w:hAnsi="Times New Roman;Times;Serif"/>
          <w:b w:val="false"/>
          <w:i w:val="false"/>
          <w:caps w:val="false"/>
          <w:smallCaps w:val="false"/>
          <w:sz w:val="20"/>
        </w:rPr>
        <w:t>” shall mean the Sponsor Holders holding in the aggregate a majority of the Registrable Securities then held by the Sponsor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Subsequent Shelf Registration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xml:space="preserve">” shall mean the (i) sale or assignment of, offer to sell, contract or agreement to sell, hypothecation,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Underwriter</w:t>
      </w:r>
      <w:r>
        <w:rPr>
          <w:rFonts w:ascii="Times New Roman;Times;Serif" w:hAnsi="Times New Roman;Times;Serif"/>
          <w:b w:val="false"/>
          <w:i w:val="false"/>
          <w:caps w:val="false"/>
          <w:smallCaps w:val="false"/>
          <w:sz w:val="20"/>
        </w:rPr>
        <w:t>” shall mean a securities dealer who purchases any Registrable Securities as principal in an Underwritten Offering and not as part of such dealer’s market-making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Underwritten Lock-Up Period</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caps w:val="false"/>
          <w:smallCaps w:val="false"/>
        </w:rPr>
      </w:pPr>
      <w:r>
        <w:rPr>
          <w:caps w:val="false"/>
          <w:smallCaps w:val="false"/>
        </w:rPr>
        <w:t>“</w:t>
      </w:r>
      <w:r>
        <w:rPr>
          <w:rFonts w:ascii="Times New Roman;Times;Serif" w:hAnsi="Times New Roman;Times;Serif"/>
          <w:b/>
          <w:i/>
          <w:caps w:val="false"/>
          <w:smallCaps w:val="false"/>
          <w:sz w:val="20"/>
        </w:rPr>
        <w:t>Underwritten Registration</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Underwritten Offering</w:t>
      </w:r>
      <w:r>
        <w:rPr>
          <w:rFonts w:ascii="Times New Roman;Times;Serif" w:hAnsi="Times New Roman;Times;Serif"/>
          <w:b w:val="false"/>
          <w:i w:val="false"/>
          <w:caps w:val="false"/>
          <w:smallCaps w:val="false"/>
          <w:sz w:val="20"/>
        </w:rPr>
        <w:t>” shall mean a Registration in which securities of the Company are sold to an Underwriter in a firm commitment underwriting for distribution to the 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Underwritten Shelf Takedown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Withdrawal Notice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Yearly Limit</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firstLine="1238"/>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REGISTRATIONS AND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Filing</w:t>
      </w:r>
      <w:r>
        <w:rPr>
          <w:rFonts w:ascii="Times New Roman;Times;Serif" w:hAnsi="Times New Roman;Times;Serif"/>
          <w:b w:val="false"/>
          <w:i w:val="false"/>
          <w:caps w:val="false"/>
          <w:smallCaps w:val="false"/>
          <w:sz w:val="20"/>
        </w:rPr>
        <w:t xml:space="preserve">. The Company shall,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submit or file within 30 days of the Closing Date a Registration Statement for a Shelf Registration on Form S-1 (the “</w:t>
      </w:r>
      <w:r>
        <w:rPr>
          <w:rFonts w:ascii="Times New Roman;Times;Serif" w:hAnsi="Times New Roman;Times;Serif"/>
          <w:b/>
          <w:i/>
          <w:caps w:val="false"/>
          <w:smallCaps w:val="false"/>
          <w:sz w:val="20"/>
        </w:rPr>
        <w:t>Form S-1 Shelf</w:t>
      </w:r>
      <w:r>
        <w:rPr>
          <w:rFonts w:ascii="Times New Roman;Times;Serif" w:hAnsi="Times New Roman;Times;Serif"/>
          <w:b w:val="false"/>
          <w:i w:val="false"/>
          <w:caps w:val="false"/>
          <w:smallCaps w:val="false"/>
          <w:sz w:val="20"/>
        </w:rPr>
        <w:t>”) or, if the Company is eligible to use a Registration Statement on Form S-3, a Shelf Registration on Form S-3 (the “</w:t>
      </w:r>
      <w:r>
        <w:rPr>
          <w:rFonts w:ascii="Times New Roman;Times;Serif" w:hAnsi="Times New Roman;Times;Serif"/>
          <w:b/>
          <w:i/>
          <w:caps w:val="false"/>
          <w:smallCaps w:val="false"/>
          <w:sz w:val="20"/>
        </w:rPr>
        <w:t>Form S-3 Shelf</w:t>
      </w:r>
      <w:r>
        <w:rPr>
          <w:rFonts w:ascii="Times New Roman;Times;Serif" w:hAnsi="Times New Roman;Times;Serif"/>
          <w:b w:val="false"/>
          <w:i w:val="false"/>
          <w:caps w:val="false"/>
          <w:smallCaps w:val="false"/>
          <w:sz w:val="20"/>
        </w:rPr>
        <w:t>”), in each case, covering the resale of all Registrable Securities (determined as of two (2) business days prior to such submission or filing and assuming that (i) all shares of Series A Preferred Stock are converted into shares of Common Stock at a conversion price equal to the Floor Price and taking into account payment-in-kind dividends for at least three years from the date of such submission or filing and (ii) all Series A Investor Warrants are exercised in full at an exercise price equal to the Floor Price) on a delayed or continuous basis and shall use its commercially reasonable efforts to have such Shelf declared effective as soon as reasonably practicable after the filing thereof, but no later than the earlier of (a) the 90th calendar day following the filing date thereof if the Commission notifies the Company that it will “review” the Registration Statement and (b)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after the date the Company is notified (orally or in writing, whichever is earlier) by the Commission that the Registration Statement will not be “reviewed” or will not be subject to further review. Such Shelf shall provide for the resale of the Registrable Securities included therein pursuant to any method or combination of methods legally available to, and requested by, any Holder named therein. Subject to </w:t>
      </w:r>
      <w:r>
        <w:rPr>
          <w:rFonts w:ascii="Times New Roman;Times;Serif" w:hAnsi="Times New Roman;Times;Serif"/>
          <w:b w:val="false"/>
          <w:i w:val="false"/>
          <w:caps w:val="false"/>
          <w:smallCaps w:val="false"/>
          <w:sz w:val="20"/>
          <w:u w:val="single"/>
        </w:rPr>
        <w:t>Sections 2.1.3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to a Form S-3 Shelf as soon as reasonably practicable after the Company is eligible to use Form S-3.</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Subsequent Shelf Registration</w:t>
      </w:r>
      <w:r>
        <w:rPr>
          <w:rFonts w:ascii="Times New Roman;Times;Serif" w:hAnsi="Times New Roman;Times;Serif"/>
          <w:b w:val="false"/>
          <w:i w:val="false"/>
          <w:caps w:val="false"/>
          <w:smallCaps w:val="false"/>
          <w:sz w:val="20"/>
        </w:rPr>
        <w:t xml:space="preserve">. If any Shelf ceases to be effective under the Securities Act for any reason at any time while Registrable Securities are still outstanding, the Company shall,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Times;Serif" w:hAnsi="Times New Roman;Times;Serif"/>
          <w:b/>
          <w:i/>
          <w:caps w:val="false"/>
          <w:smallCaps w:val="false"/>
          <w:sz w:val="20"/>
        </w:rPr>
        <w:t>Subsequent Shelf Registration</w:t>
      </w:r>
      <w:r>
        <w:rPr>
          <w:rFonts w:ascii="Times New Roman;Times;Serif" w:hAnsi="Times New Roman;Times;Serif"/>
          <w:b w:val="false"/>
          <w:i w:val="false"/>
          <w:caps w:val="false"/>
          <w:smallCaps w:val="false"/>
          <w:sz w:val="20"/>
        </w:rPr>
        <w:t>”) registering the resale of all Registrable Securities under such Shelf (determined as of two (2) business days prior to such filing and assuming that (i) all shares of Series A Preferred Stock are converted into shares of Common Stock at a conversion price equal to the Floor Price and taking into account payment-in-kind dividends for at least three years from the date of such submission or filing and (ii) all Series A Investor Warrants are exercised in full at an exercise price equal to the Floor Price), and pursuant to any method or combination of methods legally available to, and requested by, any Holder named therein. If a Subsequent Shelf Registration is filed, the Company shall use its commercially reasonable efforts to (i) cause such Subsequent Shelf Registration to become effective under the Securities Act as promptly as is reasonably practicable after the filing thereof (it being agreed that the Subsequent Shelf Registration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shall be on Form S-3 to the extent that the Company is eligible to use such form. Otherwise, such Subsequent Shelf Registration shall be on another appropriate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New Registrable Securities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in the event that any Holder holds Registrable Securities that are not registered for resale on a delayed or continuous basis, the Company shall, upon the written request of such Holder, promptly use its commercially reasonable efforts to cause the resale of such Registrable Securities to be covered by either, at the Company’s option, any then- available Shelf (including by means of a post-effective amendment) or a Subsequent Shelf Registration and cause the same to become effective as soon as practicable after such filing and such Shelf or Subsequent Shelf Registration shall be subject to the terms 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only be required to cause such Registrable Securities to be so covered twice per calendar year for each of (i) the Sponsor Holders, collectively, (ii) the Merlin Holders, collectively, and (iii) the PIPE Holders, collectively.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Requests for Underwritten Shelf Takedowns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at any time and from time to time when an effective Shelf is on file with the Commission, any Holder (a “</w:t>
      </w:r>
      <w:r>
        <w:rPr>
          <w:rFonts w:ascii="Times New Roman;Times;Serif" w:hAnsi="Times New Roman;Times;Serif"/>
          <w:b/>
          <w:i/>
          <w:caps w:val="false"/>
          <w:smallCaps w:val="false"/>
          <w:sz w:val="20"/>
        </w:rPr>
        <w:t>Demanding Holder</w:t>
      </w:r>
      <w:r>
        <w:rPr>
          <w:rFonts w:ascii="Times New Roman;Times;Serif" w:hAnsi="Times New Roman;Times;Serif"/>
          <w:b w:val="false"/>
          <w:i w:val="false"/>
          <w:caps w:val="false"/>
          <w:smallCaps w:val="false"/>
          <w:sz w:val="20"/>
        </w:rPr>
        <w:t>”) may request to sell all or any portion of its Registrable Securities in an Underwritten Offering or other coordinated offering that is registered pursuant to the Shelf (each, an “</w:t>
      </w:r>
      <w:r>
        <w:rPr>
          <w:rFonts w:ascii="Times New Roman;Times;Serif" w:hAnsi="Times New Roman;Times;Serif"/>
          <w:b/>
          <w:i/>
          <w:caps w:val="false"/>
          <w:smallCaps w:val="false"/>
          <w:sz w:val="20"/>
        </w:rPr>
        <w:t>Underwritten Shelf Takedown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$25 million (the “</w:t>
      </w:r>
      <w:r>
        <w:rPr>
          <w:rFonts w:ascii="Times New Roman;Times;Serif" w:hAnsi="Times New Roman;Times;Serif"/>
          <w:b/>
          <w:i/>
          <w:caps w:val="false"/>
          <w:smallCaps w:val="false"/>
          <w:sz w:val="20"/>
        </w:rPr>
        <w:t>Minimum Takedown Threshold</w:t>
      </w:r>
      <w:r>
        <w:rPr>
          <w:rFonts w:ascii="Times New Roman;Times;Serif" w:hAnsi="Times New Roman;Times;Serif"/>
          <w:b w:val="false"/>
          <w:i w:val="false"/>
          <w:caps w:val="false"/>
          <w:smallCaps w:val="false"/>
          <w:sz w:val="20"/>
        </w:rPr>
        <w:t xml:space="preserve">”). All requests for Underwritten Shelf Takedowns shall be made by giving written notice to the Company, which shall specify the approximate number of Registrable Securities proposed to be sold in the Underwritten Shelf Takedown. Subject to </w:t>
      </w:r>
      <w:r>
        <w:rPr>
          <w:rFonts w:ascii="Times New Roman;Times;Serif" w:hAnsi="Times New Roman;Times;Serif"/>
          <w:b w:val="false"/>
          <w:i w:val="false"/>
          <w:caps w:val="false"/>
          <w:smallCaps w:val="false"/>
          <w:sz w:val="20"/>
          <w:u w:val="single"/>
        </w:rPr>
        <w:t>Section 2.4.4</w:t>
      </w:r>
      <w:r>
        <w:rPr>
          <w:rFonts w:ascii="Times New Roman;Times;Serif" w:hAnsi="Times New Roman;Times;Serif"/>
          <w:b w:val="false"/>
          <w:i w:val="false"/>
          <w:caps w:val="false"/>
          <w:smallCaps w:val="false"/>
          <w:sz w:val="20"/>
        </w:rPr>
        <w:t xml:space="preserve">, the Company shall have the right to select the Underwriters for such offering (which shall consist of one or more reputable nationally recognized investment banks), subject to the initial Demanding Holder’s prior approval (which approval shall not be unreasonably withheld, conditioned or delayed). Subject to </w:t>
      </w:r>
      <w:r>
        <w:rPr>
          <w:rFonts w:ascii="Times New Roman;Times;Serif" w:hAnsi="Times New Roman;Times;Serif"/>
          <w:b w:val="false"/>
          <w:i w:val="false"/>
          <w:caps w:val="false"/>
          <w:smallCaps w:val="false"/>
          <w:sz w:val="20"/>
          <w:u w:val="single"/>
        </w:rPr>
        <w:t>Section 2.4.6</w:t>
      </w:r>
      <w:r>
        <w:rPr>
          <w:rFonts w:ascii="Times New Roman;Times;Serif" w:hAnsi="Times New Roman;Times;Serif"/>
          <w:b w:val="false"/>
          <w:i w:val="false"/>
          <w:caps w:val="false"/>
          <w:smallCaps w:val="false"/>
          <w:sz w:val="20"/>
        </w:rPr>
        <w:t xml:space="preserve">, each of (i) the Sponsor Holders, collectively, (ii) the Merlin Holders, collectively, and (iii) the PIPE Holders, collectively, may demand Underwritten Shelf Takedowns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(x) not more than two (2) times in any 12-month period (the “</w:t>
      </w:r>
      <w:r>
        <w:rPr>
          <w:rFonts w:ascii="Times New Roman;Times;Serif" w:hAnsi="Times New Roman;Times;Serif"/>
          <w:b/>
          <w:i/>
          <w:caps w:val="false"/>
          <w:smallCaps w:val="false"/>
          <w:sz w:val="20"/>
        </w:rPr>
        <w:t>Yearly Limit</w:t>
      </w:r>
      <w:r>
        <w:rPr>
          <w:rFonts w:ascii="Times New Roman;Times;Serif" w:hAnsi="Times New Roman;Times;Serif"/>
          <w:b w:val="false"/>
          <w:i w:val="false"/>
          <w:caps w:val="false"/>
          <w:smallCaps w:val="false"/>
          <w:sz w:val="20"/>
        </w:rPr>
        <w:t>”). Notwithstanding anything to the contrary in this Agreement, the Company may effect any Underwritten Offering pursuant to any then-effective Registration Statement, including a Form S-3, that is then available for such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Reduction of Underwritten Offering</w:t>
      </w:r>
      <w:r>
        <w:rPr>
          <w:rFonts w:ascii="Times New Roman;Times;Serif" w:hAnsi="Times New Roman;Times;Serif"/>
          <w:b w:val="false"/>
          <w:i w:val="false"/>
          <w:caps w:val="false"/>
          <w:smallCaps w:val="false"/>
          <w:sz w:val="20"/>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Times New Roman;Times;Serif" w:hAnsi="Times New Roman;Times;Serif"/>
          <w:b/>
          <w:i/>
          <w:caps w:val="false"/>
          <w:smallCaps w:val="false"/>
          <w:sz w:val="20"/>
        </w:rPr>
        <w:t>Requesting Holders</w:t>
      </w:r>
      <w:r>
        <w:rPr>
          <w:rFonts w:ascii="Times New Roman;Times;Serif" w:hAnsi="Times New Roman;Times;Serif"/>
          <w:b w:val="false"/>
          <w:i w:val="false"/>
          <w:caps w:val="false"/>
          <w:smallCaps w:val="false"/>
          <w:sz w:val="20"/>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Times;Serif" w:hAnsi="Times New Roman;Times;Serif"/>
          <w:b/>
          <w:i/>
          <w:caps w:val="false"/>
          <w:smallCaps w:val="false"/>
          <w:sz w:val="20"/>
        </w:rPr>
        <w:t>Maximum Number of Securities</w:t>
      </w:r>
      <w:r>
        <w:rPr>
          <w:rFonts w:ascii="Times New Roman;Times;Serif" w:hAnsi="Times New Roman;Times;Serif"/>
          <w:b w:val="false"/>
          <w:i w:val="false"/>
          <w:caps w:val="false"/>
          <w:smallCaps w:val="false"/>
          <w:sz w:val="20"/>
        </w:rPr>
        <w:t>”), then the Company shall include in such Underwritten Offering, before including any shares of Common Stock or other equity securities proposed to be sold by Company or by other holders of Common Stock or other equity securities, the Registrable Securities of the Demanding Holders and the Requesting Holders (if any)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as nearly as practicable, based on the respective number of Registrable Securities that each Demanding Holder and Requesting Holder (if any) has requested be included in such Underwritten Shelf Takedown and the aggregate number of Registrable Securities that the Demanding Holders and Requesting Holders (if any) have requested be included in such Underwritten Shelf Takedown) that can be sold without exceeding the Maximum Number of Securities. To facilitate the allocation of Registrable Securities in accordance with the above provisions, the Company or the Underwriters may round the number of shares allocated to any Holder to the nearest 10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val="false"/>
          <w:i w:val="false"/>
          <w:caps w:val="false"/>
          <w:smallCaps w:val="false"/>
          <w:sz w:val="20"/>
          <w:u w:val="single"/>
        </w:rPr>
        <w:t>Underwritten Shelf Takedown Withdrawal</w:t>
      </w:r>
      <w:r>
        <w:rPr>
          <w:rFonts w:ascii="Times New Roman;Times;Serif" w:hAnsi="Times New Roman;Times;Serif"/>
          <w:b w:val="false"/>
          <w:i w:val="false"/>
          <w:caps w:val="false"/>
          <w:smallCaps w:val="false"/>
          <w:sz w:val="20"/>
        </w:rPr>
        <w:t>. Prior to the filing of the applicable “red herring” prospectus or prospectus supplement used for marketing such Underwritten Shelf Takedown, a majority in interest of the Demanding Holders initiating an Underwritten Shelf Takedown shall have the right to withdraw from such Underwritten Shelf Takedown for any or no reason whatsoever upon written notification (a “</w:t>
      </w:r>
      <w:r>
        <w:rPr>
          <w:rFonts w:ascii="Times New Roman;Times;Serif" w:hAnsi="Times New Roman;Times;Serif"/>
          <w:b/>
          <w:i/>
          <w:caps w:val="false"/>
          <w:smallCaps w:val="false"/>
          <w:sz w:val="20"/>
        </w:rPr>
        <w:t>Withdrawal Notice</w:t>
      </w:r>
      <w:r>
        <w:rPr>
          <w:rFonts w:ascii="Times New Roman;Times;Serif" w:hAnsi="Times New Roman;Times;Serif"/>
          <w:b w:val="false"/>
          <w:i w:val="false"/>
          <w:caps w:val="false"/>
          <w:smallCaps w:val="false"/>
          <w:sz w:val="20"/>
        </w:rPr>
        <w:t xml:space="preserve">”) to the Company and the Underwriter or Underwriters (if any) of their intention to withdraw from such Underwritten Shelf Takedown;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other Demanding Holder(s) may elect to have the Company continue an Underwritten Shelf Takedown if the Minimum Takedown Threshold would still be satisfied by the Registrable Securities proposed to be sold in the Underwritten Shelf Takedown by the Demanding Holder(s). If withdrawn, a demand for an Underwritten Shelf Takedown shall constitute a demand for an Underwritten Shelf Takedown by the withdrawing Demanding Holder for purposes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shall count toward the Yearly Limit, unless either (i) the Demanding Holder(s) making the withdrawal has not previously withdrawn any Underwritten Shelf Takedown or (ii) the Demanding Holder(s) making the withdrawal reimburses the Company for all Registration Expenses with respect to such Underwritten Shelf Takedown (or, if there is more than one Demanding Holder, a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portion of such Registration Expenses based on the respective number of Registrable Securities that each Demanding Holder has requested be included in such Underwritten Shelf Takedown);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other Demanding Holder(s) elects to continue an Underwritten Shelf Takedown pursuant to the proviso in the immediately preceding sentence, such Underwritten Shelf Takedown shall instead count as an Underwritten Shelf Takedown demanded by such Demanding Holder(s) for purposes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shall count toward the Yearly Limit. Following the receipt of any Withdrawal Notice, the Company shall promptly forward such Withdrawal Notice to any other Requesting Holders. Notwithstanding anything to the contrary in this Agreement, the Company shall be responsible for the Registration Expenses incurred in connection with a Shelf Takedown prior to its withdrawal under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other than if a Demanding Holder elects to pay such Registration Expenses pursuant to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of the second sentence of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w:t>
      </w:r>
      <w:r>
        <w:rPr>
          <w:rFonts w:ascii="Times New Roman;Times;Serif" w:hAnsi="Times New Roman;Times;Serif"/>
          <w:b w:val="false"/>
          <w:i w:val="false"/>
          <w:caps w:val="false"/>
          <w:smallCaps w:val="false"/>
          <w:sz w:val="20"/>
          <w:u w:val="single"/>
        </w:rPr>
        <w:t>Piggyback Rights</w:t>
      </w:r>
      <w:r>
        <w:rPr>
          <w:rFonts w:ascii="Times New Roman;Times;Serif" w:hAnsi="Times New Roman;Times;Serif"/>
          <w:b w:val="false"/>
          <w:i w:val="false"/>
          <w:caps w:val="false"/>
          <w:smallCaps w:val="false"/>
          <w:sz w:val="20"/>
        </w:rPr>
        <w:t xml:space="preserve">. If the Company or any Holder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securityholders of the Company (or by the Company and by the securityholders of the Company including, without limitation, an Underwritten Shelf Takedown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other than a Registration Statement (or any registered offering with respect thereto) (i) filed in connection with any employee stock option or other benefit plan, (ii) for an exchange offer or offering of securities solely to the Company’s existing stockholders, (iii) pursuant to a Registration Statement on Form S-4 (or similar form that relates to a transaction subject to Rule 145 under the Securities Act or any successor rule thereto), (iv) for an offering of debt that is convertible into equity securities of the Company, (v) for a dividend reinvestment plan, or (vi) a Block Trade or an Other Coordinated Offering (which shall be subject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then the Company shall give written notice of such proposed offering to all of the Holders of Registrable Securities as soon as practicable but not less than ten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(5) business days after receipt of such written notice (such Registration, a “</w:t>
      </w:r>
      <w:r>
        <w:rPr>
          <w:rFonts w:ascii="Times New Roman;Times;Serif" w:hAnsi="Times New Roman;Times;Serif"/>
          <w:b/>
          <w:i/>
          <w:caps w:val="false"/>
          <w:smallCaps w:val="false"/>
          <w:sz w:val="20"/>
        </w:rPr>
        <w:t>Piggyback Registration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Holder’s agreement to enter into an underwriting agreement in customary form with the Underwriter(s) selected for such Underwritten Offering by the Company.</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w:t>
      </w:r>
      <w:r>
        <w:rPr>
          <w:rFonts w:ascii="Times New Roman;Times;Serif" w:hAnsi="Times New Roman;Times;Serif"/>
          <w:b w:val="false"/>
          <w:i w:val="false"/>
          <w:caps w:val="false"/>
          <w:smallCaps w:val="false"/>
          <w:sz w:val="20"/>
          <w:u w:val="single"/>
        </w:rPr>
        <w:t>Reduction of Piggyback Registration</w:t>
      </w:r>
      <w:r>
        <w:rPr>
          <w:rFonts w:ascii="Times New Roman;Times;Serif" w:hAnsi="Times New Roman;Times;Serif"/>
          <w:b w:val="false"/>
          <w:i w:val="false"/>
          <w:caps w:val="false"/>
          <w:smallCaps w:val="false"/>
          <w:sz w:val="20"/>
        </w:rPr>
        <w:t xml:space="preserve">. If the managing Underwriter or Underwriters in an Underwritten Offering that is to be a Piggyback Registration, in good faith, advises the Company and the Holders of Registrable Securities participating in the Piggyback Registration in writing that the dollar amount or number of shares of Common Stock or other equity securities that the Company or the Demanding Holders desire to sell, taken together with (i) the shares of Common Stock or other equity securities, if any, as to which Registration or a registered offering has been demanded pursuant to separate written contractual arrangements with Persons other than the Holders of Registrable Securities hereunder, (ii) the Registrable Securities as to which Registration has been requested pursuant to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(iii) the shares of Common Stock or other equity securities, if any, as to which Registration or a registered offering has been requested pursuant to separate written contractual piggy-back registration rights of Persons other than the Holders of Registrable Securities hereunder, exceeds the Maximum Number of Securities, then: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Registration or registered offering is undertaken for the Company’s account, the Company shall include in any such Registration or registered offering (A) first, the shares of Common Stock or other equity securities that the Company desires to sell, which can be sold without exceeding the Maximum Number of Securities; (B) second, to the extent that the Maximum Number of Securities has not been reached under the foregoing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as nearly as practicable,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and (C) third, to the extent that the Maximum Number of Securities has not been reached under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shares of Common Stock or other equity securities, if any, as to which Registration or a registered offering has been requested pursuant to separate written contractual piggy-back registration rights of Persons other than the Holders of Registrable Securities hereunder, which can be sold without exceeding the Maximum Number of Securities;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Registration or registered offering is pursuant to a request by Persons other than the Holders of Registrable Securities, then the Company shall include in any such Registration or registered offering (A) first, the shares of Common Stock or other equity securities, if any, of such requesting Persons, other than the Holders of Registrable Securities, which can be sold without exceeding the Maximum Number of Securities; (B) second, to the extent that the Maximum Number of Securities has not been reached under the foregoing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as nearly as practicable,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(C) third, to the extent that the Maximum Number of Securities has not been reached under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the shares of Common Stock or other equity securities that the Company desires to sell, which can be sold without exceeding the Maximum Number of Securities; and (D) fourth, to the extent that the Maximum Number of Securities has not been reached under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the shares of Common Stock or other equity securities, if any, as to which Registration or a registered offering has been requested pursuant to separate written contractual piggy-back registration rights of such Persons other than the Holders of Registrable Securities hereunder, which can be sold without exceeding the Maximum Number of Securities;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Registration or registered offering is pursuant to a request by Holder(s) of Registrable Securities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then the Company shall include in any such Registration or registered offering securities in the priority set forth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w:t>
      </w:r>
      <w:r>
        <w:rPr>
          <w:rFonts w:ascii="Times New Roman;Times;Serif" w:hAnsi="Times New Roman;Times;Serif"/>
          <w:b w:val="false"/>
          <w:i w:val="false"/>
          <w:caps w:val="false"/>
          <w:smallCaps w:val="false"/>
          <w:sz w:val="20"/>
          <w:u w:val="single"/>
        </w:rPr>
        <w:t>Piggyback Registration Withdrawal</w:t>
      </w:r>
      <w:r>
        <w:rPr>
          <w:rFonts w:ascii="Times New Roman;Times;Serif" w:hAnsi="Times New Roman;Times;Serif"/>
          <w:b w:val="false"/>
          <w:i w:val="false"/>
          <w:caps w:val="false"/>
          <w:smallCaps w:val="false"/>
          <w:sz w:val="20"/>
        </w:rPr>
        <w:t xml:space="preserve">. Any Holder of Registrable Securities (other than a Demanding Holder, whose right to withdraw from an Underwritten Shelf Takedown, and related obligations, shall be governed by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(other than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the Company shall be responsible for the Registration Expenses incurred in connection with the Piggyback Registration prior to its withdrawal under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t>
      </w:r>
      <w:r>
        <w:rPr>
          <w:rFonts w:ascii="Times New Roman;Times;Serif" w:hAnsi="Times New Roman;Times;Serif"/>
          <w:b w:val="false"/>
          <w:i w:val="false"/>
          <w:caps w:val="false"/>
          <w:smallCaps w:val="false"/>
          <w:sz w:val="20"/>
          <w:u w:val="single"/>
        </w:rPr>
        <w:t>Unlimited Piggyback Registration Rights</w:t>
      </w:r>
      <w:r>
        <w:rPr>
          <w:rFonts w:ascii="Times New Roman;Times;Serif" w:hAnsi="Times New Roman;Times;Serif"/>
          <w:b w:val="false"/>
          <w:i w:val="false"/>
          <w:caps w:val="false"/>
          <w:smallCaps w:val="false"/>
          <w:sz w:val="20"/>
        </w:rPr>
        <w:t xml:space="preserve">. For purposes of clarity, subject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any Piggyback Registration effected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shall not be counted as a demand for an Underwritten Shelf Takedown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shall not count toward the Yearly Limit.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Market Stand-off</w:t>
      </w:r>
      <w:r>
        <w:rPr>
          <w:rFonts w:ascii="Times New Roman;Times;Serif" w:hAnsi="Times New Roman;Times;Serif"/>
          <w:b w:val="false"/>
          <w:i w:val="false"/>
          <w:caps w:val="false"/>
          <w:smallCaps w:val="false"/>
          <w:sz w:val="20"/>
        </w:rPr>
        <w:t>. In connection with any Underwritten Offering of equity securities of the Company (other than a Block Trade or Other Coordinated Offering), if requested by the managing Underwriter, each Holder that is an executive officer or director of the Company or a Holder in excess of 5.0% of the then-outstanding Common Stock agrees that it shall not Transfer any shares of Common Stock or other equity securities of the Company (other than those included in such offering pursuant to this Agreement), without the prior written consent of the Company, during the 90-day period (or such shorter time agreed to by the managing Underwriters) beginning on the date of pricing of such offering (the “</w:t>
      </w:r>
      <w:r>
        <w:rPr>
          <w:rFonts w:ascii="Times New Roman;Times;Serif" w:hAnsi="Times New Roman;Times;Serif"/>
          <w:b/>
          <w:i/>
          <w:caps w:val="false"/>
          <w:smallCaps w:val="false"/>
          <w:sz w:val="20"/>
        </w:rPr>
        <w:t>Underwritten Lock-Up Period</w:t>
      </w:r>
      <w:r>
        <w:rPr>
          <w:rFonts w:ascii="Times New Roman;Times;Serif" w:hAnsi="Times New Roman;Times;Serif"/>
          <w:b w:val="false"/>
          <w:i w:val="false"/>
          <w:caps w:val="false"/>
          <w:smallCaps w:val="false"/>
          <w:sz w:val="20"/>
        </w:rPr>
        <w:t>”), except (i) to Permitted Transferees, (ii) as expressly permitted by such lock-up agreement or (iii) in the event the Underwriters managing the offering otherwise consent in writing. Each Holder agrees to execute a customary lock-up agreement in favor of the Underwriters to such effect (in each case on substantially the same terms and conditions as all other Holders). The Company will not be obligated to undertake an Underwritten Shelf Takedown during any Underwritten Lock-Up Period binding on the Holders, nor will the Company be obligated to include in any Piggyback Registration any Registrable Securities that are then subject to a “lock-up” agreement.</w:t>
      </w:r>
    </w:p>
    <w:p>
      <w:pPr>
        <w:pStyle w:val="TextBody"/>
        <w:bidi w:val="0"/>
        <w:spacing w:before="0" w:after="0"/>
        <w:ind w:left="0" w:right="0" w:hanging="719"/>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Block Trades; Other Coordinated Offerings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2.4.1 Notwithstanding any other provision of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but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at any time and from time to time when an effective Shelf is on file with the Commission, if a Demanding Holder wishes to engage in (a) an underwritten registered offering not involving a “roadshow,” an offer commonly known as a “block trade” (a “</w:t>
      </w:r>
      <w:r>
        <w:rPr>
          <w:rFonts w:ascii="Times New Roman;Times;Serif" w:hAnsi="Times New Roman;Times;Serif"/>
          <w:b/>
          <w:i/>
          <w:caps w:val="false"/>
          <w:smallCaps w:val="false"/>
          <w:sz w:val="20"/>
        </w:rPr>
        <w:t>Block Trade</w:t>
      </w:r>
      <w:r>
        <w:rPr>
          <w:rFonts w:ascii="Times New Roman;Times;Serif" w:hAnsi="Times New Roman;Times;Serif"/>
          <w:b w:val="false"/>
          <w:i w:val="false"/>
          <w:caps w:val="false"/>
          <w:smallCaps w:val="false"/>
          <w:sz w:val="20"/>
        </w:rPr>
        <w:t>”) or (b) an “at the market” or similar registered offering through a broker, sales agent or distribution agent, whether as agent or principal, (an “</w:t>
      </w:r>
      <w:r>
        <w:rPr>
          <w:rFonts w:ascii="Times New Roman;Times;Serif" w:hAnsi="Times New Roman;Times;Serif"/>
          <w:b/>
          <w:i/>
          <w:caps w:val="false"/>
          <w:smallCaps w:val="false"/>
          <w:sz w:val="20"/>
        </w:rPr>
        <w:t>Other Coordinated Offering</w:t>
      </w:r>
      <w:r>
        <w:rPr>
          <w:rFonts w:ascii="Times New Roman;Times;Serif" w:hAnsi="Times New Roman;Times;Serif"/>
          <w:b w:val="false"/>
          <w:i w:val="false"/>
          <w:caps w:val="false"/>
          <w:smallCaps w:val="false"/>
          <w:sz w:val="20"/>
        </w:rPr>
        <w:t xml:space="preserve">”), in each case, either (x) with an anticipated aggregate offering price reasonably expected to be at least $25 million or (y) with respect to all remaining Registrable Securities held by the Demanding Holder, then such Demanding Holder only needs to notify the Company of the Block Trade or Other Coordinated Offering at least five (5) Business Days prior to the day such offering is to commence and the Company shall as expeditiously as possible use its commercially reasonable efforts to facilitate such Block Trade or Other Coordinated Offering;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Demanding Holders representing a majority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Times New Roman;Times;Serif" w:hAnsi="Times New Roman;Times;Serif"/>
          <w:b w:val="false"/>
          <w:i w:val="false"/>
          <w:caps w:val="false"/>
          <w:smallCaps w:val="false"/>
          <w:sz w:val="20"/>
          <w:u w:val="single"/>
        </w:rPr>
        <w:t>Section 2.4.2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2.4.3 Notwithstanding anything to the contrary in this Agreement,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shall not apply to a Block Trade or Other Coordinated Offering initiated by a Demanding Holder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 The Demanding Holder in a Block Trade or Other Coordinated Offering shall have the right to select the Underwriters and any brokers, sale agents or placement agents (if any) for such Block Trade or Other Coordinated Offering (in each case, which shall consist of one or more reputable nationally recognized investment banks).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2.4.5 Subject to </w:t>
      </w:r>
      <w:r>
        <w:rPr>
          <w:rFonts w:ascii="Times New Roman;Times;Serif" w:hAnsi="Times New Roman;Times;Serif"/>
          <w:b w:val="false"/>
          <w:i w:val="false"/>
          <w:caps w:val="false"/>
          <w:smallCaps w:val="false"/>
          <w:sz w:val="20"/>
          <w:u w:val="single"/>
        </w:rPr>
        <w:t>Section 2.4.6</w:t>
      </w:r>
      <w:r>
        <w:rPr>
          <w:rFonts w:ascii="Times New Roman;Times;Serif" w:hAnsi="Times New Roman;Times;Serif"/>
          <w:b w:val="false"/>
          <w:i w:val="false"/>
          <w:caps w:val="false"/>
          <w:smallCaps w:val="false"/>
          <w:sz w:val="20"/>
        </w:rPr>
        <w:t xml:space="preserve">, each of (i) the Sponsor Holders, as a group, (ii) the Merlin Holders, as a group, and (iii) the PIPE Holders, as a group, may demand no more than two (2) Block Trades or Other Coordinated Offerings pursuant to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in any twelve (12) month period. For the avoidance of doubt, any Block Trade or Other Coordinated Offering effected pursuant to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not be counted as a demand for an Underwritten Shelf Takedown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2.4.6 Notwithstanding anything to the contrary in this Agreement, with respect to (i) the Sponsor Holders, as a group, or (ii) the Merlin Holders, as a group, in no event may the number of Block Trades or Other Coordinated Offerings demanded pursuant to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plus the number of Underwritten Shelf Takedowns demanded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exceed a total of three (3) demands for such group in any twelve (12) month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In connection with any sale or other disposition of the Registrable Securities by a Holder pursuant to Rule 144 promulgated under the Securities Act (or any successor rule promulgated thereafter by the Commission) and upon compliance by the Holder with the requirements of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if requested by the Holder, the Company shall cause the transfer agent for the Registrable Securities (the “</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to remove any restrictive legends related to the book entry account holding such Registrable Securities and make a new, unlegended entry for such book entry shares sold or disposed of without restrictive legends within one (1) trading day of any such request therefor from the Holder; provided that the Company and the Transfer Agent have timely received from the Holder customary representations and other documentation reasonably acceptable to the Company and the Transfer Agent in connection therewith. Subject to receipt from the Holder by the Company and the Transfer Agent of customary representations and other documentation reasonably acceptable to the Company and the Transfer Agent in connection therewith, the Holder may request that the Company remove any legend from the book entry position evidencing its Registrable Securities and the Company will, if required by the Transfer Agent, use its commercially reasonable efforts to cause an opinion of the Company’s counsel be provided, in a form reasonably acceptable to the Transfer Agent, to the effect that the removal of such restrictive legends in such circumstances may be effected under the Securities Act, following the earliest of such time as such Registrable Securities (i) are subject to or have been or are about to be sold pursuant to an effective registration statement or (ii) have been or are about to be sold pursuant to Rule 144 promulgated under the Securities Act (or any successor rule promulgated thereafter by the Commission). If restrictive legends are no longer required for such Registrable Securities pursuant to the foregoing, the Company shall, in accordance with the provisions of this section and within one (1) trading day of any request therefor from the Holder accompanied by such customary and reasonably acceptable representations and other documentation referred to above establishing that restrictive legends are no longer required, deliver to the Transfer Agent irrevocable instructions that the Transfer Agent shall make a new, unlegended entry for such book entry shares. The Company shall be responsible for the fees of its Transfer Agent, its legal counsel and all DTC fees associated with such issuance.</w:t>
      </w:r>
    </w:p>
    <w:p>
      <w:pPr>
        <w:pStyle w:val="TextBody"/>
        <w:bidi w:val="0"/>
        <w:spacing w:before="0" w:after="0"/>
        <w:ind w:left="0" w:right="0" w:firstLine="70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COMPANY PROCEDURES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General Procedures</w:t>
      </w:r>
      <w:r>
        <w:rPr>
          <w:rFonts w:ascii="Times New Roman;Times;Serif" w:hAnsi="Times New Roman;Times;Serif"/>
          <w:b w:val="false"/>
          <w:i w:val="false"/>
          <w:caps w:val="false"/>
          <w:smallCaps w:val="false"/>
          <w:sz w:val="20"/>
        </w:rPr>
        <w:t>. In connection with any Shelf and/or Shelf Takedown, the Company shall use its commercially reasonable efforts to effect such Registration to permit the sale of such Registrable Securities in accordance with the intended plan of distribution thereof (and including all manners of distribution in such Registration Statement as Holders may reasonably request in connection with the filing of such Registration Statement and as permitted by law, including distribution of Registrable Securities to a Holder’s members, securityholders or partners), and pursuant thereto the Company shall, as expeditiously as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have ceased to be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cause all such Registrable Securities to be listed on each national securities exchange or automated quotation system on which similar securities issued by the Company are then listed;</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provide a transfer agent or warrant agent, as applicable, and registrar for all such Registrable Securities no later than the effective date of such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prior to the filing of any Registration Statement or Prospectus or any amendment or supplement to such Registration Statement or Prospectus (or such shorter period of time as (a) may be necessary in order to comply with the Securities Act, the Exchange Act and the rules and regulations promulgated under the Securities Act or Exchange Act, as applicable or (b) advisable in order to reduce the number of days that sales are suspended pursuant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furnish a copy thereof to each seller of such Registrable Securities and its counsel (excluding any exhibits thereto and any filing made under the Exchange Act that is to be incorporated by reference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3.1.10 in the event of an Underwritten Offering, a Block Trade, an Other Coordinated Offering, or sale by a broker, placement agent or sales agent that is registered pursuant to a Registration Statement, permit a representative of the Holders (such representative to be selected by a majority of the participating Holders), the Underwriters or other financial institutions facilitating such Underwritten Offering, Block Trade, Other Coordinated Offering or other sale pursuant to such Registration, if any, and any attorney, consultant or accountant retained by such Holders collectively, Underwriters or other financial institutions to participate, at each such Person’s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representative, Underwriters or financial institutions agree to confidentiality arrangements, in form and substance reasonably satisfactory to the Company, prior to the release or disclosure of any such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3.1.11 obtain a “comfort” letter (including a bring-down letter dated as of the date the Registrable Securities are delivered for sale pursuant to such Registration) from the Company’s independent registered public accountants in the event of an Underwritten Offering, a Block Trade, an Other Coordinated Offering or a sale by a broker, placement agent or sales agent pursuant to a Registration Statement (subject to such Underwriter or other financial institution facilitating such offering providing such certification or representation as reasonably requested by the Company’s independent registered public accountings and the Company’s counsel), in customary form and covering such matters of the type customarily covered by “comfort” letters as the managing Underwriter or other similar type of sales agent or placement agent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 in the event of an Underwritten Offering, a Block Trade, an Other Coordinated Offering or sale by a broker, placement agent or sales agent pursuant to a Registration Statement, on the date the Registrable Securities are delivered for sale pursuant to such Registration, obtain an opinion and negative assurance letter, dated such date, of counsel representing the Company for the purposes of such Registration, addressed to the participating Holders, the broker, placement agent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 provided, in each case, that such participating Holders provide such information to such counsel as is customarily required for, or is reasonably requested by such counsel for purposes of, such opinion or negative assurance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 in the event of any Underwritten Offering, a Block Trade, an Other Coordinated Offering or sale by a broker, placement agent or sales agent pursuant to a Registration Statement, enter into and perform its obligations under an underwriting agreement, purchase agreement, sales agreement or placement agreement, in usual and customary form, with the managing Underwriter or broker, sales agent or placement agent of such offering or sale;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3.1.14 make available to its security holders, as soon as reasonably practicable, an earnings statement covering the period of at least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3.1.15 with respect to an Underwritten Offering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use its commercially reasonable efforts to make available senior executives of the Company to participate in customary “road show” presentations that may be reasonably requested by the Underwriter in such Underwritten Offering;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3.1.16 otherwise, in good faith, cooperate reasonably with, and take such customary actions as may reasonably be requested by the Holders participating in such Registration, consistent with the terms of this Agreement, in connection with such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 shall not be required to provide any documents or information to an Underwriter or other sales agent or placement agent if such Underwriter or other sales agent or placement agent has not then been named with respect to the applicable Underwritten Offering or other offering involving a registration as an Underwriter or broker, sales agent or placement agent,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The Registration Expenses of all Registrations shall be borne by the Company. It is acknowledged by the Holders that the Holders shall bear all incremental selling expenses relating to the sale of Registrable Securities, such as Underwriters’ or agents’ commissions and discounts, brokerage fees, Underwriter marketing costs and, other than as set forth in the definition of “Registration Expenses,” all reasonable fees and expenses of any legal counsel representing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Requirements for Participation in Underwritten Offerings</w:t>
      </w:r>
      <w:r>
        <w:rPr>
          <w:rFonts w:ascii="Times New Roman;Times;Serif" w:hAnsi="Times New Roman;Times;Serif"/>
          <w:b w:val="false"/>
          <w:i w:val="false"/>
          <w:caps w:val="false"/>
          <w:smallCaps w:val="false"/>
          <w:sz w:val="20"/>
        </w:rPr>
        <w:t xml:space="preserve">. The Holders of Registrable Securities shall provide such information as may reasonably be requested by the Company, or the managing Underwriter or placement agent or sales agent, if any, in connection with the preparation of any Registration Statement or Prospectus, including amendments and supplements thereto, in order to effect the registration of any Registrable Securities under the Securities Act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in connection with the Company’s obligation to comply with federal and applicable state securities Laws. Notwithstanding anything in this Agreement to the contrary, if any Holder does not timely provide the Company with its requested Holder Information,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 No Person may participate in any Underwritten Offering or other coordinated offering for equity securities of the Company pursuant to a Registration initiated by the Company hereunder unless such Person (i) agrees to sell such Person’s securities on the basis provided in any arrangements approved by the Company and (ii) timely completes and executes all customary questionnaires, powers of attorney, indemnities, lock-up agreements, underwriting or other agreements and other customary documents as may be reasonably required under the terms of such arrangements. The exclusion of a Holder’s Registrable Securities as a result of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shall not affect the registration of the other Registrable Securities to be included in such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Suspension of Sales; Adverse Disclosure; Restrictions on Registration Rights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3.4.2 If the filing, initial effectiveness or continued use of a Registration Statement in respect of any Registration at any time would (i) require the Company to make an Adverse Disclosure, (ii) require the inclusion in such Registration Statement of financial statements that are unavailable to the Company for reasons beyond the Company’s control or (iii) in the good faith judgment of the majority of the Board,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Times New Roman;Times;Serif" w:hAnsi="Times New Roman;Times;Serif"/>
          <w:b w:val="false"/>
          <w:i w:val="false"/>
          <w:caps w:val="false"/>
          <w:smallCaps w:val="false"/>
          <w:sz w:val="20"/>
          <w:u w:val="single"/>
        </w:rPr>
        <w:t>Section 3.4.2</w:t>
      </w:r>
      <w:r>
        <w:rPr>
          <w:rFonts w:ascii="Times New Roman;Times;Serif" w:hAnsi="Times New Roman;Times;Serif"/>
          <w:b w:val="false"/>
          <w:i w:val="false"/>
          <w:caps w:val="false"/>
          <w:smallCaps w:val="false"/>
          <w:sz w:val="20"/>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3.4.3 Subject to </w:t>
      </w:r>
      <w:r>
        <w:rPr>
          <w:rFonts w:ascii="Times New Roman;Times;Serif" w:hAnsi="Times New Roman;Times;Serif"/>
          <w:b w:val="false"/>
          <w:i w:val="false"/>
          <w:caps w:val="false"/>
          <w:smallCaps w:val="false"/>
          <w:sz w:val="20"/>
          <w:u w:val="single"/>
        </w:rPr>
        <w:t>Section 3.4.4</w:t>
      </w:r>
      <w:r>
        <w:rPr>
          <w:rFonts w:ascii="Times New Roman;Times;Serif" w:hAnsi="Times New Roman;Times;Serif"/>
          <w:b w:val="false"/>
          <w:i w:val="false"/>
          <w:caps w:val="false"/>
          <w:smallCaps w:val="false"/>
          <w:sz w:val="20"/>
        </w:rPr>
        <w:t xml:space="preserve">, if (i) during the period starting with the date 60 days prior to the Company’s good faith estimate of the date of the filing of, and ending on a date 120 days after the effective date of, a Company-initiated Registration, and provided that the Company continues to actively employ, in good faith, all commercially reasonable efforts to maintain the effectiveness of the applicable Shelf Registration, or (ii) if,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Holders have requested an Underwritten Shelf Takedown and the Company and such Holders are unable to obtain the commitment of underwriters to firmly underwrite such offering, then, in each case, the Company may, upon giving prompt written notice of such action to the Holders, delay any other registered offering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3.4.4 The right to delay or suspend any filing, initial effectiveness or continued use of a Registration Statement pursuant to </w:t>
      </w:r>
      <w:r>
        <w:rPr>
          <w:rFonts w:ascii="Times New Roman;Times;Serif" w:hAnsi="Times New Roman;Times;Serif"/>
          <w:b w:val="false"/>
          <w:i w:val="false"/>
          <w:caps w:val="false"/>
          <w:smallCaps w:val="false"/>
          <w:sz w:val="20"/>
          <w:u w:val="single"/>
        </w:rPr>
        <w:t>Section 3.4.2</w:t>
      </w:r>
      <w:r>
        <w:rPr>
          <w:rFonts w:ascii="Times New Roman;Times;Serif" w:hAnsi="Times New Roman;Times;Serif"/>
          <w:b w:val="false"/>
          <w:i w:val="false"/>
          <w:caps w:val="false"/>
          <w:smallCaps w:val="false"/>
          <w:sz w:val="20"/>
        </w:rPr>
        <w:t xml:space="preserve"> or a registered offering pursuant to </w:t>
      </w:r>
      <w:r>
        <w:rPr>
          <w:rFonts w:ascii="Times New Roman;Times;Serif" w:hAnsi="Times New Roman;Times;Serif"/>
          <w:b w:val="false"/>
          <w:i w:val="false"/>
          <w:caps w:val="false"/>
          <w:smallCaps w:val="false"/>
          <w:sz w:val="20"/>
          <w:u w:val="single"/>
        </w:rPr>
        <w:t>Section 3.4.3</w:t>
      </w:r>
      <w:r>
        <w:rPr>
          <w:rFonts w:ascii="Times New Roman;Times;Serif" w:hAnsi="Times New Roman;Times;Serif"/>
          <w:b w:val="false"/>
          <w:i w:val="false"/>
          <w:caps w:val="false"/>
          <w:smallCaps w:val="false"/>
          <w:sz w:val="20"/>
        </w:rPr>
        <w:t xml:space="preserve"> shall be exercised by the Company, in the aggregate, for not more than 90 consecutive calendar days or more 120 total calendar days in each case, during any 12-month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Reporting Obligations</w:t>
      </w:r>
      <w:r>
        <w:rPr>
          <w:rFonts w:ascii="Times New Roman;Times;Serif" w:hAnsi="Times New Roman;Times;Serif"/>
          <w:b w:val="false"/>
          <w:i w:val="false"/>
          <w:caps w:val="false"/>
          <w:smallCaps w:val="false"/>
          <w:sz w:val="20"/>
        </w:rPr>
        <w:t>. As long as any Holder shall own Registrable Securities, the Company, at all times while it shall be a reporting company under the Exchange Act, covenants to use commercially reasonable efforts to file timely (or obtain extensions in respect thereof and file within the applicable grace period) all reports required to be filed by the Company after the date hereof pursuant to Section 13(a) or 15(d) of the Exchange Act. The Company further covenants that it shall take such further action as any Holder may reasonably request, to the extent required from time to time to enable such Holder to sell Registrable Securities held by such Holder without registration under the Securities Act within the limitation of the exemptions provided by Rule 144.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1567"/>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AND CONTRIBUTION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The Company agrees to indemnify, to the extent permitted by law, each Holder of Registrable Securities, its officers, directors, agents and each Person who controls such Holder (within the meaning of the Securities Act) against all losses, claims, damages, liabilities and reasonable and documented out-of-pocket expenses (including, without limitation, reasonable outside attorneys’ fees) resulting from any untrue or alleged untrue statement of material fact contained in or incorporated by reference in any Registration Statement, Prospectus or preliminary Prospectus or any amendment thereof or supplement thereto filed pursuant to this Agreement or any omission or alleged omission of a material fact required to be stated therein or necessary to make the statements therein not misleading, except insofar as the same are caused by or contained in any information or affidavit so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In connection with any Registration Statement filed pursuant to this Agreement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w:t>
      </w:r>
      <w:r>
        <w:rPr>
          <w:rFonts w:ascii="Times New Roman;Times;Serif" w:hAnsi="Times New Roman;Times;Serif"/>
          <w:b/>
          <w:i/>
          <w:caps w:val="false"/>
          <w:smallCaps w:val="false"/>
          <w:sz w:val="20"/>
        </w:rPr>
        <w:t>Holder Information</w:t>
      </w:r>
      <w:r>
        <w:rPr>
          <w:rFonts w:ascii="Times New Roman;Times;Serif" w:hAnsi="Times New Roman;Times;Serif"/>
          <w:b w:val="false"/>
          <w:i w:val="false"/>
          <w:caps w:val="false"/>
          <w:smallCaps w:val="false"/>
          <w:sz w:val="20"/>
        </w:rPr>
        <w:t xml:space="preserve">”) and, to the extent permitted by law, shall indemnify the Company, its directors, officers and agents and each Person who controls the Company (within the meaning of the Securities Act) against all losses, claims, damages, liabilities and reasonable and documented out-of-pocket expenses (including, without limitation, reasonable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any information or affidavit so furnished in writing by such Holder expressly for use therein;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Any Person entitled to indemnification herein shall (i) give prompt written notice to the indemnifying party of any claim with respect to which it seeks indemnification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one local counsel if necessary in the reasonable judgment of the indemnified party)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If the indemnification provided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liability of any Holder under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Times;Serif" w:hAnsi="Times New Roman;Times;Serif"/>
          <w:b w:val="false"/>
          <w:i w:val="false"/>
          <w:caps w:val="false"/>
          <w:smallCaps w:val="false"/>
          <w:sz w:val="20"/>
          <w:u w:val="single"/>
        </w:rPr>
        <w:t>Sections 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4.1.3</w:t>
      </w:r>
      <w:r>
        <w:rPr>
          <w:rFonts w:ascii="Times New Roman;Times;Serif" w:hAnsi="Times New Roman;Times;Serif"/>
          <w:b w:val="false"/>
          <w:i w:val="false"/>
          <w:caps w:val="false"/>
          <w:smallCaps w:val="false"/>
          <w:sz w:val="20"/>
        </w:rPr>
        <w:t xml:space="preser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were determined by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No Person guilty of fraudulent misrepresentation (within the meaning of Section 11(f) of the Securities Act) shall be entitled to contribution pursuant to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from any Person who was not guilty of such fraudulent misrepresentation.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Waiver of Medallion Guaranty</w:t>
      </w:r>
      <w:r>
        <w:rPr>
          <w:rFonts w:ascii="Times New Roman;Times;Serif" w:hAnsi="Times New Roman;Times;Serif"/>
          <w:b w:val="false"/>
          <w:i w:val="false"/>
          <w:caps w:val="false"/>
          <w:smallCaps w:val="false"/>
          <w:sz w:val="20"/>
        </w:rPr>
        <w:t xml:space="preserve">. The Company agrees to use commercially reasonable efforts to enter into that certain indemnification agreement, substantially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this Agreement, in favor of Continental Stock Transfer &amp; Trust Company (or any successor transfer agent or warrant agent of the Company) in connection with the waiver of any requirement to provide a medallion guarantee in connection with any Transfer of any shares of Common Stock or other equity securities of the Company by any Sponsor Holder, PIPE Holder, or any of their Permitted Transferees; provided that, in each case, as a prerequisite to the Company’s entry into such indemnification agreement, such Sponsor Holder or Permitted Transferee enters into an indemnification agreement in favor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consents, waivers and other communications hereunder shall be in writing and shall be deemed to have been duly given when delivered (i) in person, (ii) by facsimile or other electronic means (including email), with affirmative confirmation of receipt, (iii) one (1) Business Day after being sent, if sent by reputable, nationally recognized overnight courier service or (iv) three (3) Business Days after being mailed, if sent by registered or certified mail, pre-paid and return receipt requested, in each case to the applicable party at the following addresses (or at such other address for a party as shall be specified by like notice). Any notice or communication under this Agreement must be addressed, if to the Company, to: Merlin, Inc., 129 South Street, Boston, MA 02111, Attention: Matthew George, Email: mg@merlinlabs.com, with a copy (which shall not constitute notice) to Latham &amp; Watkins LLP, 200 Clarendon St, Boston, MA 02116, Attention: Stephen Ranere and Nick Dhesi, Email: Stephen.Ranere@lw.com and ramnik.dhesi@lw.com;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Assignment; No Third-Party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This Agreement and the rights, duties and obligations of the Company hereunder may not be assigned or delegated by the Company in whole or in part.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5.2.2 This Agreement and the rights, duties and obligations of the Holders hereunder may not be assigned or delegated by the Holders in whole or in part;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5.2.5</w:t>
      </w:r>
      <w:r>
        <w:rPr>
          <w:rFonts w:ascii="Times New Roman;Times;Serif" w:hAnsi="Times New Roman;Times;Serif"/>
          <w:b w:val="false"/>
          <w:i w:val="false"/>
          <w:caps w:val="false"/>
          <w:smallCaps w:val="false"/>
          <w:sz w:val="20"/>
        </w:rPr>
        <w:t>, a Holder may assign the rights and obligations of such Holder hereunder relating to particular Registrable Securities in connection with the transfer of such Registrable Securities to a Permitted Transferee of such Holder (it being understood that no such Transfer shall reduce any rights of the Holder with respect to Registrable Securities still held by such Holder). A Permitted Transferee receiving Registrable Securities from a Sponsor Holder shall become a Sponsor Holder, a Permitted Transferee receiving Registrable Securities from a Merlin Holder shall become a Merlin Holder, and a Permitted Transferee receiving Registrable Securities from a PIPE Holder shall become a PIPE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 This Agreement and the provisions hereof shall be binding upon and shall inure to the benefit of each of the parties and its successors and the permitted assigns of the Holders, which shall include Permitted Transferees.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5.2.4 This Agreement shall not confer any rights or benefits on any Persons that are not parties hereto, other than as expressly set forth in this Agreement and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5.2.5 No assignment by any party hereto of such party’s rights, duties and obligations hereunder shall be binding upon or obligate the Company unless such assignment is permitted under 5.2.2 and unless and until the Company shall have received (i) written notice of such assignment as provided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null and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facsimile or other electronic transmission) in one or more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xml:space="preserve">. Any Legal Proceeding based upon, arising out of or related to this Agreement or the transactions contemplated hereby must be brought in the Court of Chancery of the State of Delaware (or, to the extent such court does not have jurisdiction, in the United States District Court for the District of Delaware and to the extent such court does not have subject matter jurisdiction, the Superior Court of the State of Delaware), and each of the parties irrevocably (i) submits to the exclusive jurisdiction of each such court in any such Legal Proceeding, (ii) waives any objection it may now or hereafter have to personal jurisdiction, venue or to convenience of forum, (iii) agrees that all claims in respect of the Legal Proceeding shall be heard and determined only in any such court, and (iv) agrees not to bring any Legal Proceeding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Legal Proceeding, suit or proceeding brought pursuant to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ACKNOWLEDGES AND AGREES THAT ANY CONTROVERSY WHICH MAY ARISE UNDER THIS AGREEMENT AND THE TRANSACTIONS CONTEMPLATED HEREBY IS LIKELY TO INVOLVE COMPLICATED AND DIFFICULT ISSUES, AND THEREFORE EACH SUCH PARTY HEREBY IRREVOCABLY, UNCONDITIONALLY AND VOLUNTARILY WAIVES ANY RIGHT SUCH PARTY MAY HAVE TO A TRIAL BY JURY IN RESPECT OF ANY ACTION, SUIT OR PROCEEDING DIRECTLY OR INDIRECTLY ARISING OUT OF OR RELATING TO THIS AGREEMENT OR ANY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Amendments and Modifications</w:t>
      </w:r>
      <w:r>
        <w:rPr>
          <w:rFonts w:ascii="Times New Roman;Times;Serif" w:hAnsi="Times New Roman;Times;Serif"/>
          <w:b w:val="false"/>
          <w:i w:val="false"/>
          <w:caps w:val="false"/>
          <w:smallCaps w:val="false"/>
          <w:sz w:val="20"/>
        </w:rPr>
        <w:t xml:space="preserve">. Upon the written consent of the Company and the Holders of at least a majority in interest of the aggregate Registrable Securities at the time in question, compliance with any of the provisions, covenants and conditions set forth in this Agreement may be waived, or any of such provisions, covenants or conditions may be amended or modified;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the foregoing, any amendment hereto or waiver hereof that adversely effects the Sponsor Holders shall also require the written consent of the Sponsor Majority Holders so long as the Sponsor Holders and their respective affiliates hold, in the aggregate, at least one percent (1%) of the outstanding shares of Common Stock of the Company;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Other Registration Rights</w:t>
      </w:r>
      <w:r>
        <w:rPr>
          <w:rFonts w:ascii="Times New Roman;Times;Serif" w:hAnsi="Times New Roman;Times;Serif"/>
          <w:b w:val="false"/>
          <w:i w:val="false"/>
          <w:caps w:val="false"/>
          <w:smallCaps w:val="false"/>
          <w:sz w:val="20"/>
        </w:rPr>
        <w:t>. Other than as provided in the Warrant Agreement, dated as of April 24, 2025, between the Company and Continental Stock Transfer &amp; Trust Company, the Company represents and warrants that no Person,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For so long as the Sponsor Holders and their respective affiliates hold, in the aggregate, at least five percent (5%) of the outstanding shares of Common Stock of the Company, the Company hereby agrees and covenants that it will not grant rights to register any Common Stock (or securities convertible into or exchangeable for Common Stock) pursuant to the Securities Act that are more favorable or senior to those granted to the Holders hereunder (such rights “</w:t>
      </w:r>
      <w:r>
        <w:rPr>
          <w:rFonts w:ascii="Times New Roman;Times;Serif" w:hAnsi="Times New Roman;Times;Serif"/>
          <w:b/>
          <w:i/>
          <w:caps w:val="false"/>
          <w:smallCaps w:val="false"/>
          <w:sz w:val="20"/>
        </w:rPr>
        <w:t>Competing Registration Rights</w:t>
      </w:r>
      <w:r>
        <w:rPr>
          <w:rFonts w:ascii="Times New Roman;Times;Serif" w:hAnsi="Times New Roman;Times;Serif"/>
          <w:b w:val="false"/>
          <w:i w:val="false"/>
          <w:caps w:val="false"/>
          <w:smallCaps w:val="false"/>
          <w:sz w:val="20"/>
        </w:rPr>
        <w:t>”) without the prior written consent of the Sponsor Majority Holders, not to be unreasonably withheld, delayed or conditioned.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This Agreement shall terminate upon the earlier of (i) the tenth anniversary of the date of this Agreement and (ii) with respect to any Holder, the date that such Holder no longer holds any Registrable Securities. The provisions of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survive any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Holder Information</w:t>
      </w:r>
      <w:r>
        <w:rPr>
          <w:rFonts w:ascii="Times New Roman;Times;Serif" w:hAnsi="Times New Roman;Times;Serif"/>
          <w:b w:val="false"/>
          <w:i w:val="false"/>
          <w:caps w:val="false"/>
          <w:smallCaps w:val="false"/>
          <w:sz w:val="20"/>
        </w:rPr>
        <w:t>. Each Holder agrees, if requested in writing, to represent to the Company the total number of Registrable Securities held by such Holder in order for the Company to make determinations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Additional Holders; Joinder</w:t>
      </w:r>
      <w:r>
        <w:rPr>
          <w:rFonts w:ascii="Times New Roman;Times;Serif" w:hAnsi="Times New Roman;Times;Serif"/>
          <w:b w:val="false"/>
          <w:i w:val="false"/>
          <w:caps w:val="false"/>
          <w:smallCaps w:val="false"/>
          <w:sz w:val="20"/>
        </w:rPr>
        <w:t xml:space="preserve">. In addition to Persons who may become Holders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subject to the prior written consent of at least a majority in interest of the aggregate Registrable Securities at the time in question, the Company may make any Person who acquires Common Stock or rights to acquire Common Stock after the date hereof a party to this Agreement (each such Person, an “</w:t>
      </w:r>
      <w:r>
        <w:rPr>
          <w:rFonts w:ascii="Times New Roman;Times;Serif" w:hAnsi="Times New Roman;Times;Serif"/>
          <w:b/>
          <w:i/>
          <w:caps w:val="false"/>
          <w:smallCaps w:val="false"/>
          <w:sz w:val="20"/>
        </w:rPr>
        <w:t>Additional Holder</w:t>
      </w:r>
      <w:r>
        <w:rPr>
          <w:rFonts w:ascii="Times New Roman;Times;Serif" w:hAnsi="Times New Roman;Times;Serif"/>
          <w:b w:val="false"/>
          <w:i w:val="false"/>
          <w:caps w:val="false"/>
          <w:smallCaps w:val="false"/>
          <w:sz w:val="20"/>
        </w:rPr>
        <w:t xml:space="preserve">”) by obtaining an executed joinder to this Agreement from such Additional Holder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 “</w:t>
      </w:r>
      <w:r>
        <w:rPr>
          <w:rFonts w:ascii="Times New Roman;Times;Serif" w:hAnsi="Times New Roman;Times;Serif"/>
          <w:b/>
          <w:i/>
          <w:caps w:val="false"/>
          <w:smallCaps w:val="false"/>
          <w:sz w:val="20"/>
        </w:rPr>
        <w:t>Joinder</w:t>
      </w:r>
      <w:r>
        <w:rPr>
          <w:rFonts w:ascii="Times New Roman;Times;Serif" w:hAnsi="Times New Roman;Times;Serif"/>
          <w:b w:val="false"/>
          <w:i w:val="false"/>
          <w:caps w:val="false"/>
          <w:smallCaps w:val="false"/>
          <w:sz w:val="20"/>
        </w:rPr>
        <w:t>”). Such Joinder shall specify the rights and obligations of the applicable Additional Holder under this Agreement. Upon the execution and delivery and subject to the terms of a Joinder by such Additional Holder, the Common Stock of the Company then owned, or underlying any rights then owned, by such Additional Holder (the “</w:t>
      </w:r>
      <w:r>
        <w:rPr>
          <w:rFonts w:ascii="Times New Roman;Times;Serif" w:hAnsi="Times New Roman;Times;Serif"/>
          <w:b/>
          <w:i/>
          <w:caps w:val="false"/>
          <w:smallCaps w:val="false"/>
          <w:sz w:val="20"/>
        </w:rPr>
        <w:t>Additional Holder Common Stock</w:t>
      </w:r>
      <w:r>
        <w:rPr>
          <w:rFonts w:ascii="Times New Roman;Times;Serif" w:hAnsi="Times New Roman;Times;Serif"/>
          <w:b w:val="false"/>
          <w:i w:val="false"/>
          <w:caps w:val="false"/>
          <w:smallCaps w:val="false"/>
          <w:sz w:val="20"/>
        </w:rPr>
        <w:t>”) shall be Registrable Securities to the extent provided herein and therein, and such Additional Holder shall be a Holder under this Agreement with respect to such Additional Holder Common Stock.</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provision in this Agreement shall be held invalid, illegal or unenforceable in a jurisdiction, such 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Entire Agreement; Restatement</w:t>
      </w:r>
      <w:r>
        <w:rPr>
          <w:rFonts w:ascii="Times New Roman;Times;Serif" w:hAnsi="Times New Roman;Times;Serif"/>
          <w:b w:val="false"/>
          <w:i w:val="false"/>
          <w:caps w:val="false"/>
          <w:smallCaps w:val="false"/>
          <w:sz w:val="20"/>
        </w:rPr>
        <w:t>. This Agreement and the documents or instruments referred to herein, including any exhibits and schedules attached hereto, which exhibits and schedules are incorporated herein by reference, embody the entire agreement and understanding of the parties hereto in respect of the subject matter contained herein. There are no restrictions, promises, representations, warranties, covenants or undertakings, other than those expressly set forth or referred to herein or the documents or instruments referred to herein, which collectively supersede all prior agreements and the understandings among the parties with respect to the subject matter contained herein. Upon the Closing, the Original RRA shall no longer be of any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510" w:type="dxa"/>
        <w:jc w:val="left"/>
        <w:tblInd w:w="0" w:type="dxa"/>
        <w:tblLayout w:type="fixed"/>
        <w:tblCellMar>
          <w:top w:w="0" w:type="dxa"/>
          <w:left w:w="0" w:type="dxa"/>
          <w:bottom w:w="0" w:type="dxa"/>
          <w:right w:w="0" w:type="dxa"/>
        </w:tblCellMar>
      </w:tblPr>
      <w:tblGrid>
        <w:gridCol w:w="75"/>
        <w:gridCol w:w="365"/>
        <w:gridCol w:w="770"/>
        <w:gridCol w:w="2300"/>
      </w:tblGrid>
      <w:tr>
        <w:trPr/>
        <w:tc>
          <w:tcPr>
            <w:tcW w:w="75" w:type="dxa"/>
            <w:tcBorders/>
            <w:vAlign w:val="center"/>
          </w:tcPr>
          <w:p>
            <w:pPr>
              <w:pStyle w:val="TableContents"/>
              <w:bidi w:val="0"/>
              <w:spacing w:before="0" w:after="283"/>
              <w:jc w:val="left"/>
              <w:rPr/>
            </w:pPr>
            <w:r>
              <w:rPr/>
              <w:t> </w:t>
            </w:r>
          </w:p>
        </w:tc>
        <w:tc>
          <w:tcPr>
            <w:tcW w:w="3435" w:type="dxa"/>
            <w:gridSpan w:val="3"/>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343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35" w:type="dxa"/>
            <w:gridSpan w:val="3"/>
            <w:tcBorders/>
            <w:vAlign w:val="center"/>
          </w:tcPr>
          <w:p>
            <w:pPr>
              <w:pStyle w:val="TableContents"/>
              <w:bidi w:val="0"/>
              <w:spacing w:before="0" w:after="283"/>
              <w:jc w:val="left"/>
              <w:rPr/>
            </w:pPr>
            <w:r>
              <w:rPr>
                <w:b/>
              </w:rPr>
              <w:t>Merlin, Inc.</w:t>
            </w:r>
            <w:r>
              <w:rPr/>
              <w:t>,</w:t>
            </w:r>
          </w:p>
        </w:tc>
      </w:tr>
      <w:tr>
        <w:trPr/>
        <w:tc>
          <w:tcPr>
            <w:tcW w:w="75" w:type="dxa"/>
            <w:tcBorders/>
            <w:vAlign w:val="center"/>
          </w:tcPr>
          <w:p>
            <w:pPr>
              <w:pStyle w:val="TableContents"/>
              <w:bidi w:val="0"/>
              <w:spacing w:before="0" w:after="283"/>
              <w:jc w:val="left"/>
              <w:rPr/>
            </w:pPr>
            <w:r>
              <w:rPr/>
              <w:t> </w:t>
            </w:r>
          </w:p>
        </w:tc>
        <w:tc>
          <w:tcPr>
            <w:tcW w:w="3435" w:type="dxa"/>
            <w:gridSpan w:val="3"/>
            <w:tcBorders/>
            <w:vAlign w:val="center"/>
          </w:tcPr>
          <w:p>
            <w:pPr>
              <w:pStyle w:val="TableContents"/>
              <w:bidi w:val="0"/>
              <w:spacing w:before="0" w:after="283"/>
              <w:jc w:val="left"/>
              <w:rPr/>
            </w:pPr>
            <w:r>
              <w:rPr/>
              <w:t>a Delaware corporation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3070" w:type="dxa"/>
            <w:gridSpan w:val="2"/>
            <w:tcBorders>
              <w:bottom w:val="single" w:sz="12" w:space="0" w:color="000000"/>
            </w:tcBorders>
            <w:tcMar>
              <w:bottom w:w="28" w:type="dxa"/>
            </w:tcMar>
            <w:vAlign w:val="center"/>
          </w:tcPr>
          <w:p>
            <w:pPr>
              <w:pStyle w:val="TableContents"/>
              <w:bidi w:val="0"/>
              <w:spacing w:before="0" w:after="283"/>
              <w:jc w:val="both"/>
              <w:rPr/>
            </w:pPr>
            <w:r>
              <w:rPr/>
              <w:t>/s/ Matthew George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both"/>
              <w:rPr/>
            </w:pPr>
            <w:r>
              <w:rPr/>
              <w:t xml:space="preserve">Name:  </w:t>
            </w:r>
          </w:p>
        </w:tc>
        <w:tc>
          <w:tcPr>
            <w:tcW w:w="2300" w:type="dxa"/>
            <w:tcBorders/>
            <w:vAlign w:val="center"/>
          </w:tcPr>
          <w:p>
            <w:pPr>
              <w:pStyle w:val="TableContents"/>
              <w:bidi w:val="0"/>
              <w:spacing w:before="0" w:after="283"/>
              <w:jc w:val="both"/>
              <w:rPr/>
            </w:pPr>
            <w:r>
              <w:rPr/>
              <w:t>Matthew George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both"/>
              <w:rPr/>
            </w:pPr>
            <w:r>
              <w:rPr/>
              <w:t xml:space="preserve">Title: </w:t>
            </w:r>
          </w:p>
        </w:tc>
        <w:tc>
          <w:tcPr>
            <w:tcW w:w="2300"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5044" w:type="dxa"/>
        <w:jc w:val="left"/>
        <w:tblInd w:w="0" w:type="dxa"/>
        <w:tblLayout w:type="fixed"/>
        <w:tblCellMar>
          <w:top w:w="0" w:type="dxa"/>
          <w:left w:w="0" w:type="dxa"/>
          <w:bottom w:w="0" w:type="dxa"/>
          <w:right w:w="0" w:type="dxa"/>
        </w:tblCellMar>
      </w:tblPr>
      <w:tblGrid>
        <w:gridCol w:w="75"/>
        <w:gridCol w:w="717"/>
        <w:gridCol w:w="4252"/>
      </w:tblGrid>
      <w:tr>
        <w:trPr/>
        <w:tc>
          <w:tcPr>
            <w:tcW w:w="75" w:type="dxa"/>
            <w:tcBorders/>
            <w:vAlign w:val="center"/>
          </w:tcPr>
          <w:p>
            <w:pPr>
              <w:pStyle w:val="TableContents"/>
              <w:bidi w:val="0"/>
              <w:spacing w:before="0" w:after="283"/>
              <w:jc w:val="left"/>
              <w:rPr/>
            </w:pPr>
            <w:r>
              <w:rPr/>
              <w:t> </w:t>
            </w:r>
          </w:p>
        </w:tc>
        <w:tc>
          <w:tcPr>
            <w:tcW w:w="4969"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49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69" w:type="dxa"/>
            <w:gridSpan w:val="2"/>
            <w:tcBorders/>
            <w:vAlign w:val="center"/>
          </w:tcPr>
          <w:p>
            <w:pPr>
              <w:pStyle w:val="TableContents"/>
              <w:bidi w:val="0"/>
              <w:spacing w:before="0" w:after="283"/>
              <w:jc w:val="left"/>
              <w:rPr>
                <w:b/>
              </w:rPr>
            </w:pPr>
            <w:r>
              <w:rPr>
                <w:b/>
              </w:rPr>
              <w:t>AHOY CAPITAL SPINNAKER FUND II, L.P.</w:t>
            </w:r>
          </w:p>
        </w:tc>
      </w:tr>
      <w:tr>
        <w:trPr/>
        <w:tc>
          <w:tcPr>
            <w:tcW w:w="75" w:type="dxa"/>
            <w:tcBorders/>
            <w:vAlign w:val="center"/>
          </w:tcPr>
          <w:p>
            <w:pPr>
              <w:pStyle w:val="TableContents"/>
              <w:bidi w:val="0"/>
              <w:spacing w:before="0" w:after="283"/>
              <w:jc w:val="left"/>
              <w:rPr/>
            </w:pPr>
            <w:r>
              <w:rPr/>
              <w:t> </w:t>
            </w:r>
          </w:p>
        </w:tc>
        <w:tc>
          <w:tcPr>
            <w:tcW w:w="49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pPr>
            <w:r>
              <w:rPr/>
              <w:t>By:</w:t>
            </w:r>
          </w:p>
        </w:tc>
        <w:tc>
          <w:tcPr>
            <w:tcW w:w="4252" w:type="dxa"/>
            <w:tcBorders>
              <w:bottom w:val="single" w:sz="12" w:space="0" w:color="000000"/>
            </w:tcBorders>
            <w:tcMar>
              <w:bottom w:w="28" w:type="dxa"/>
            </w:tcMar>
            <w:vAlign w:val="center"/>
          </w:tcPr>
          <w:p>
            <w:pPr>
              <w:pStyle w:val="TableContents"/>
              <w:bidi w:val="0"/>
              <w:spacing w:before="0" w:after="283"/>
              <w:jc w:val="left"/>
              <w:rPr/>
            </w:pPr>
            <w:r>
              <w:rPr/>
              <w:t>/s/ Amy Zengo</w:t>
            </w:r>
          </w:p>
        </w:tc>
      </w:tr>
      <w:tr>
        <w:trPr/>
        <w:tc>
          <w:tcPr>
            <w:tcW w:w="75"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pPr>
            <w:r>
              <w:rPr/>
              <w:t>Name: </w:t>
            </w:r>
          </w:p>
        </w:tc>
        <w:tc>
          <w:tcPr>
            <w:tcW w:w="4252" w:type="dxa"/>
            <w:tcBorders/>
            <w:vAlign w:val="center"/>
          </w:tcPr>
          <w:p>
            <w:pPr>
              <w:pStyle w:val="TableContents"/>
              <w:bidi w:val="0"/>
              <w:spacing w:before="0" w:after="283"/>
              <w:jc w:val="left"/>
              <w:rPr/>
            </w:pPr>
            <w:r>
              <w:rPr/>
              <w:t>Amy Zengo</w:t>
            </w:r>
          </w:p>
        </w:tc>
      </w:tr>
      <w:tr>
        <w:trPr/>
        <w:tc>
          <w:tcPr>
            <w:tcW w:w="75"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pPr>
            <w:r>
              <w:rPr/>
              <w:t>Title:</w:t>
            </w:r>
          </w:p>
        </w:tc>
        <w:tc>
          <w:tcPr>
            <w:tcW w:w="4252" w:type="dxa"/>
            <w:tcBorders/>
            <w:vAlign w:val="center"/>
          </w:tcPr>
          <w:p>
            <w:pPr>
              <w:pStyle w:val="TableContents"/>
              <w:bidi w:val="0"/>
              <w:spacing w:before="0" w:after="283"/>
              <w:jc w:val="left"/>
              <w:rPr/>
            </w:pPr>
            <w:r>
              <w:rPr/>
              <w:t>Chief Operating Officer &amp; General Partner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75"/>
        <w:gridCol w:w="710"/>
        <w:gridCol w:w="1895"/>
      </w:tblGrid>
      <w:tr>
        <w:trPr/>
        <w:tc>
          <w:tcPr>
            <w:tcW w:w="7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b/>
              </w:rPr>
            </w:pPr>
            <w:r>
              <w:rPr>
                <w:b/>
              </w:rPr>
              <w:t>MFCIF LLC</w:t>
            </w:r>
          </w:p>
        </w:tc>
      </w:tr>
      <w:tr>
        <w:trPr/>
        <w:tc>
          <w:tcPr>
            <w:tcW w:w="7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1895" w:type="dxa"/>
            <w:tcBorders>
              <w:bottom w:val="single" w:sz="12" w:space="0" w:color="000000"/>
            </w:tcBorders>
            <w:tcMar>
              <w:bottom w:w="28" w:type="dxa"/>
            </w:tcMar>
            <w:vAlign w:val="center"/>
          </w:tcPr>
          <w:p>
            <w:pPr>
              <w:pStyle w:val="TableContents"/>
              <w:bidi w:val="0"/>
              <w:spacing w:before="0" w:after="283"/>
              <w:jc w:val="left"/>
              <w:rPr/>
            </w:pPr>
            <w:r>
              <w:rPr/>
              <w:t>/s/ Howard Morgan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895" w:type="dxa"/>
            <w:tcBorders/>
            <w:vAlign w:val="center"/>
          </w:tcPr>
          <w:p>
            <w:pPr>
              <w:pStyle w:val="TableContents"/>
              <w:bidi w:val="0"/>
              <w:spacing w:before="0" w:after="283"/>
              <w:jc w:val="left"/>
              <w:rPr/>
            </w:pPr>
            <w:r>
              <w:rPr/>
              <w:t>Howard Morgan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895" w:type="dxa"/>
            <w:tcBorders/>
            <w:vAlign w:val="center"/>
          </w:tcPr>
          <w:p>
            <w:pPr>
              <w:pStyle w:val="TableContents"/>
              <w:bidi w:val="0"/>
              <w:spacing w:before="0" w:after="283"/>
              <w:jc w:val="left"/>
              <w:rPr/>
            </w:pPr>
            <w:r>
              <w:rPr/>
              <w:t>Managing Member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710"/>
        <w:gridCol w:w="3590"/>
      </w:tblGrid>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b/>
              </w:rPr>
            </w:pPr>
            <w:r>
              <w:rPr>
                <w:b/>
              </w:rPr>
              <w:t>BLING CAPITAL FUND I-A LP</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590" w:type="dxa"/>
            <w:tcBorders/>
            <w:vAlign w:val="center"/>
          </w:tcPr>
          <w:p>
            <w:pPr>
              <w:pStyle w:val="TableContents"/>
              <w:bidi w:val="0"/>
              <w:spacing w:before="0" w:after="283"/>
              <w:jc w:val="left"/>
              <w:rPr/>
            </w:pPr>
            <w:r>
              <w:rPr/>
              <w:t>Bling Capital GP I LLC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Its: </w:t>
            </w:r>
          </w:p>
        </w:tc>
        <w:tc>
          <w:tcPr>
            <w:tcW w:w="3590"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590" w:type="dxa"/>
            <w:tcBorders>
              <w:bottom w:val="single" w:sz="12" w:space="0" w:color="000000"/>
            </w:tcBorders>
            <w:tcMar>
              <w:bottom w:w="28" w:type="dxa"/>
            </w:tcMar>
            <w:vAlign w:val="center"/>
          </w:tcPr>
          <w:p>
            <w:pPr>
              <w:pStyle w:val="TableContents"/>
              <w:bidi w:val="0"/>
              <w:spacing w:before="0" w:after="283"/>
              <w:jc w:val="left"/>
              <w:rPr/>
            </w:pPr>
            <w:r>
              <w:rPr/>
              <w:t>/s/ Benjamin Ling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3590" w:type="dxa"/>
            <w:tcBorders/>
            <w:vAlign w:val="center"/>
          </w:tcPr>
          <w:p>
            <w:pPr>
              <w:pStyle w:val="TableContents"/>
              <w:bidi w:val="0"/>
              <w:spacing w:before="0" w:after="283"/>
              <w:jc w:val="left"/>
              <w:rPr/>
            </w:pPr>
            <w:r>
              <w:rPr/>
              <w:t>Benjamin Ling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590" w:type="dxa"/>
            <w:tcBorders/>
            <w:vAlign w:val="center"/>
          </w:tcPr>
          <w:p>
            <w:pPr>
              <w:pStyle w:val="TableContents"/>
              <w:bidi w:val="0"/>
              <w:spacing w:before="0" w:after="283"/>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b/>
              </w:rPr>
            </w:pPr>
            <w:r>
              <w:rPr>
                <w:b/>
              </w:rPr>
              <w:t>BLING CAPITAL FUND II OPPS-A LP</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590" w:type="dxa"/>
            <w:tcBorders/>
            <w:vAlign w:val="center"/>
          </w:tcPr>
          <w:p>
            <w:pPr>
              <w:pStyle w:val="TableContents"/>
              <w:bidi w:val="0"/>
              <w:spacing w:before="0" w:after="283"/>
              <w:jc w:val="left"/>
              <w:rPr/>
            </w:pPr>
            <w:r>
              <w:rPr/>
              <w:t xml:space="preserve">Bling Capital Fund II Opps GP LLC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Its:</w:t>
            </w:r>
          </w:p>
        </w:tc>
        <w:tc>
          <w:tcPr>
            <w:tcW w:w="3590"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590" w:type="dxa"/>
            <w:tcBorders>
              <w:bottom w:val="single" w:sz="12" w:space="0" w:color="000000"/>
            </w:tcBorders>
            <w:tcMar>
              <w:bottom w:w="28" w:type="dxa"/>
            </w:tcMar>
            <w:vAlign w:val="center"/>
          </w:tcPr>
          <w:p>
            <w:pPr>
              <w:pStyle w:val="TableContents"/>
              <w:bidi w:val="0"/>
              <w:spacing w:before="0" w:after="283"/>
              <w:jc w:val="left"/>
              <w:rPr/>
            </w:pPr>
            <w:r>
              <w:rPr/>
              <w:t>/s/ Benjamin Ling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3590" w:type="dxa"/>
            <w:tcBorders/>
            <w:vAlign w:val="center"/>
          </w:tcPr>
          <w:p>
            <w:pPr>
              <w:pStyle w:val="TableContents"/>
              <w:bidi w:val="0"/>
              <w:spacing w:before="0" w:after="283"/>
              <w:jc w:val="left"/>
              <w:rPr/>
            </w:pPr>
            <w:r>
              <w:rPr/>
              <w:t>Benjamin Ling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590" w:type="dxa"/>
            <w:tcBorders/>
            <w:vAlign w:val="center"/>
          </w:tcPr>
          <w:p>
            <w:pPr>
              <w:pStyle w:val="TableContents"/>
              <w:bidi w:val="0"/>
              <w:spacing w:before="0" w:after="283"/>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b/>
              </w:rPr>
            </w:pPr>
            <w:r>
              <w:rPr>
                <w:b/>
              </w:rPr>
              <w:t>BLING CAPITAL FUND II OPPS LP</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590" w:type="dxa"/>
            <w:tcBorders/>
            <w:vAlign w:val="center"/>
          </w:tcPr>
          <w:p>
            <w:pPr>
              <w:pStyle w:val="TableContents"/>
              <w:bidi w:val="0"/>
              <w:spacing w:before="0" w:after="283"/>
              <w:jc w:val="left"/>
              <w:rPr/>
            </w:pPr>
            <w:r>
              <w:rPr/>
              <w:t>Bling Capital Fund II Opps GP LLC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Its:</w:t>
            </w:r>
          </w:p>
        </w:tc>
        <w:tc>
          <w:tcPr>
            <w:tcW w:w="3590"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590" w:type="dxa"/>
            <w:tcBorders>
              <w:bottom w:val="single" w:sz="12" w:space="0" w:color="000000"/>
            </w:tcBorders>
            <w:tcMar>
              <w:bottom w:w="28" w:type="dxa"/>
            </w:tcMar>
            <w:vAlign w:val="center"/>
          </w:tcPr>
          <w:p>
            <w:pPr>
              <w:pStyle w:val="TableContents"/>
              <w:bidi w:val="0"/>
              <w:spacing w:before="0" w:after="283"/>
              <w:jc w:val="left"/>
              <w:rPr/>
            </w:pPr>
            <w:r>
              <w:rPr/>
              <w:t>/s/ Benjamin Ling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3590" w:type="dxa"/>
            <w:tcBorders/>
            <w:vAlign w:val="center"/>
          </w:tcPr>
          <w:p>
            <w:pPr>
              <w:pStyle w:val="TableContents"/>
              <w:bidi w:val="0"/>
              <w:spacing w:before="0" w:after="283"/>
              <w:jc w:val="left"/>
              <w:rPr/>
            </w:pPr>
            <w:r>
              <w:rPr/>
              <w:t>Benjamin Ling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590" w:type="dxa"/>
            <w:tcBorders/>
            <w:vAlign w:val="center"/>
          </w:tcPr>
          <w:p>
            <w:pPr>
              <w:pStyle w:val="TableContents"/>
              <w:bidi w:val="0"/>
              <w:spacing w:before="0" w:after="283"/>
              <w:jc w:val="left"/>
              <w:rPr/>
            </w:pPr>
            <w:r>
              <w:rPr/>
              <w:t>Managing Partner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264" w:type="dxa"/>
        <w:jc w:val="left"/>
        <w:tblInd w:w="0" w:type="dxa"/>
        <w:tblLayout w:type="fixed"/>
        <w:tblCellMar>
          <w:top w:w="0" w:type="dxa"/>
          <w:left w:w="0" w:type="dxa"/>
          <w:bottom w:w="0" w:type="dxa"/>
          <w:right w:w="0" w:type="dxa"/>
        </w:tblCellMar>
      </w:tblPr>
      <w:tblGrid>
        <w:gridCol w:w="75"/>
        <w:gridCol w:w="978"/>
        <w:gridCol w:w="3211"/>
      </w:tblGrid>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b/>
              </w:rPr>
            </w:pPr>
            <w:r>
              <w:rPr>
                <w:b/>
              </w:rPr>
              <w:t>BLING CAPITAL FUND I LP</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By:</w:t>
            </w:r>
          </w:p>
        </w:tc>
        <w:tc>
          <w:tcPr>
            <w:tcW w:w="3211" w:type="dxa"/>
            <w:tcBorders/>
            <w:vAlign w:val="center"/>
          </w:tcPr>
          <w:p>
            <w:pPr>
              <w:pStyle w:val="TableContents"/>
              <w:bidi w:val="0"/>
              <w:spacing w:before="0" w:after="283"/>
              <w:jc w:val="left"/>
              <w:rPr/>
            </w:pPr>
            <w:r>
              <w:rPr/>
              <w:t>Bling Capital GP I LLC</w:t>
            </w:r>
          </w:p>
        </w:tc>
      </w:tr>
      <w:tr>
        <w:trPr/>
        <w:tc>
          <w:tcPr>
            <w:tcW w:w="75"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Its:</w:t>
            </w:r>
          </w:p>
        </w:tc>
        <w:tc>
          <w:tcPr>
            <w:tcW w:w="3211"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By:</w:t>
            </w:r>
          </w:p>
        </w:tc>
        <w:tc>
          <w:tcPr>
            <w:tcW w:w="3211" w:type="dxa"/>
            <w:tcBorders>
              <w:bottom w:val="single" w:sz="12" w:space="0" w:color="000000"/>
            </w:tcBorders>
            <w:tcMar>
              <w:bottom w:w="28" w:type="dxa"/>
            </w:tcMar>
            <w:vAlign w:val="center"/>
          </w:tcPr>
          <w:p>
            <w:pPr>
              <w:pStyle w:val="TableContents"/>
              <w:bidi w:val="0"/>
              <w:spacing w:before="0" w:after="283"/>
              <w:jc w:val="left"/>
              <w:rPr/>
            </w:pPr>
            <w:r>
              <w:rPr/>
              <w:t>/s/ Benjamin Ling</w:t>
            </w:r>
          </w:p>
        </w:tc>
      </w:tr>
      <w:tr>
        <w:trPr/>
        <w:tc>
          <w:tcPr>
            <w:tcW w:w="75"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Name: </w:t>
            </w:r>
          </w:p>
        </w:tc>
        <w:tc>
          <w:tcPr>
            <w:tcW w:w="3211" w:type="dxa"/>
            <w:tcBorders/>
            <w:vAlign w:val="center"/>
          </w:tcPr>
          <w:p>
            <w:pPr>
              <w:pStyle w:val="TableContents"/>
              <w:bidi w:val="0"/>
              <w:spacing w:before="0" w:after="283"/>
              <w:jc w:val="left"/>
              <w:rPr/>
            </w:pPr>
            <w:r>
              <w:rPr/>
              <w:t>Benjamin Ling</w:t>
            </w:r>
          </w:p>
        </w:tc>
      </w:tr>
      <w:tr>
        <w:trPr/>
        <w:tc>
          <w:tcPr>
            <w:tcW w:w="75"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Title:</w:t>
            </w:r>
          </w:p>
        </w:tc>
        <w:tc>
          <w:tcPr>
            <w:tcW w:w="3211" w:type="dxa"/>
            <w:tcBorders/>
            <w:vAlign w:val="center"/>
          </w:tcPr>
          <w:p>
            <w:pPr>
              <w:pStyle w:val="TableContents"/>
              <w:bidi w:val="0"/>
              <w:spacing w:before="0" w:after="283"/>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b/>
              </w:rPr>
            </w:pPr>
            <w:r>
              <w:rPr>
                <w:b/>
              </w:rPr>
              <w:t>BLING CAPITAL SPV Q MERLIN LP</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By:</w:t>
            </w:r>
          </w:p>
        </w:tc>
        <w:tc>
          <w:tcPr>
            <w:tcW w:w="3211" w:type="dxa"/>
            <w:tcBorders/>
            <w:vAlign w:val="center"/>
          </w:tcPr>
          <w:p>
            <w:pPr>
              <w:pStyle w:val="TableContents"/>
              <w:bidi w:val="0"/>
              <w:spacing w:before="0" w:after="283"/>
              <w:jc w:val="left"/>
              <w:rPr/>
            </w:pPr>
            <w:r>
              <w:rPr/>
              <w:t>Bling Capital LLC</w:t>
            </w:r>
          </w:p>
        </w:tc>
      </w:tr>
      <w:tr>
        <w:trPr/>
        <w:tc>
          <w:tcPr>
            <w:tcW w:w="75"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Its:</w:t>
            </w:r>
          </w:p>
        </w:tc>
        <w:tc>
          <w:tcPr>
            <w:tcW w:w="3211"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By:</w:t>
            </w:r>
          </w:p>
        </w:tc>
        <w:tc>
          <w:tcPr>
            <w:tcW w:w="3211" w:type="dxa"/>
            <w:tcBorders>
              <w:bottom w:val="single" w:sz="12" w:space="0" w:color="000000"/>
            </w:tcBorders>
            <w:tcMar>
              <w:bottom w:w="28" w:type="dxa"/>
            </w:tcMar>
            <w:vAlign w:val="center"/>
          </w:tcPr>
          <w:p>
            <w:pPr>
              <w:pStyle w:val="TableContents"/>
              <w:bidi w:val="0"/>
              <w:spacing w:before="0" w:after="283"/>
              <w:jc w:val="left"/>
              <w:rPr/>
            </w:pPr>
            <w:r>
              <w:rPr/>
              <w:t>/s/ Benjamin Ling</w:t>
            </w:r>
          </w:p>
        </w:tc>
      </w:tr>
      <w:tr>
        <w:trPr/>
        <w:tc>
          <w:tcPr>
            <w:tcW w:w="75"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Name:</w:t>
            </w:r>
          </w:p>
        </w:tc>
        <w:tc>
          <w:tcPr>
            <w:tcW w:w="3211" w:type="dxa"/>
            <w:tcBorders/>
            <w:vAlign w:val="center"/>
          </w:tcPr>
          <w:p>
            <w:pPr>
              <w:pStyle w:val="TableContents"/>
              <w:bidi w:val="0"/>
              <w:spacing w:before="0" w:after="283"/>
              <w:jc w:val="left"/>
              <w:rPr/>
            </w:pPr>
            <w:r>
              <w:rPr/>
              <w:t>Benjamin Ling</w:t>
            </w:r>
          </w:p>
        </w:tc>
      </w:tr>
      <w:tr>
        <w:trPr/>
        <w:tc>
          <w:tcPr>
            <w:tcW w:w="75"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Title:</w:t>
            </w:r>
          </w:p>
        </w:tc>
        <w:tc>
          <w:tcPr>
            <w:tcW w:w="3211" w:type="dxa"/>
            <w:tcBorders/>
            <w:vAlign w:val="center"/>
          </w:tcPr>
          <w:p>
            <w:pPr>
              <w:pStyle w:val="TableContents"/>
              <w:bidi w:val="0"/>
              <w:spacing w:before="0" w:after="283"/>
              <w:jc w:val="left"/>
              <w:rPr/>
            </w:pPr>
            <w:r>
              <w:rPr/>
              <w:t>Managing Partner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75"/>
        <w:gridCol w:w="710"/>
        <w:gridCol w:w="3035"/>
      </w:tblGrid>
      <w:tr>
        <w:trPr/>
        <w:tc>
          <w:tcPr>
            <w:tcW w:w="75"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left"/>
              <w:rPr>
                <w:b/>
              </w:rPr>
            </w:pPr>
            <w:r>
              <w:rPr>
                <w:b/>
              </w:rPr>
              <w:t>BOXGROUP THREE LLC</w:t>
            </w:r>
          </w:p>
        </w:tc>
      </w:tr>
      <w:tr>
        <w:trPr/>
        <w:tc>
          <w:tcPr>
            <w:tcW w:w="75"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035" w:type="dxa"/>
            <w:tcBorders/>
            <w:vAlign w:val="center"/>
          </w:tcPr>
          <w:p>
            <w:pPr>
              <w:pStyle w:val="TableContents"/>
              <w:bidi w:val="0"/>
              <w:spacing w:before="0" w:after="283"/>
              <w:jc w:val="left"/>
              <w:rPr/>
            </w:pPr>
            <w:r>
              <w:rPr/>
              <w:t>Boxgroup Three Manager LLC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Its:</w:t>
            </w:r>
          </w:p>
        </w:tc>
        <w:tc>
          <w:tcPr>
            <w:tcW w:w="3035" w:type="dxa"/>
            <w:tcBorders/>
            <w:vAlign w:val="center"/>
          </w:tcPr>
          <w:p>
            <w:pPr>
              <w:pStyle w:val="TableContents"/>
              <w:bidi w:val="0"/>
              <w:spacing w:before="0" w:after="283"/>
              <w:jc w:val="left"/>
              <w:rPr/>
            </w:pPr>
            <w:r>
              <w:rPr/>
              <w:t>Manager</w:t>
            </w:r>
          </w:p>
        </w:tc>
      </w:tr>
      <w:tr>
        <w:trPr/>
        <w:tc>
          <w:tcPr>
            <w:tcW w:w="75"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035" w:type="dxa"/>
            <w:tcBorders>
              <w:bottom w:val="single" w:sz="12" w:space="0" w:color="000000"/>
            </w:tcBorders>
            <w:tcMar>
              <w:bottom w:w="28" w:type="dxa"/>
            </w:tcMar>
            <w:vAlign w:val="center"/>
          </w:tcPr>
          <w:p>
            <w:pPr>
              <w:pStyle w:val="TableContents"/>
              <w:bidi w:val="0"/>
              <w:spacing w:before="0" w:after="283"/>
              <w:jc w:val="left"/>
              <w:rPr/>
            </w:pPr>
            <w:r>
              <w:rPr/>
              <w:t>/s/ David Tisch</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3035" w:type="dxa"/>
            <w:tcBorders/>
            <w:vAlign w:val="center"/>
          </w:tcPr>
          <w:p>
            <w:pPr>
              <w:pStyle w:val="TableContents"/>
              <w:bidi w:val="0"/>
              <w:spacing w:before="0" w:after="283"/>
              <w:jc w:val="left"/>
              <w:rPr/>
            </w:pPr>
            <w:r>
              <w:rPr/>
              <w:t>David Tisch</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  </w:t>
            </w:r>
          </w:p>
        </w:tc>
        <w:tc>
          <w:tcPr>
            <w:tcW w:w="3035" w:type="dxa"/>
            <w:tcBorders/>
            <w:vAlign w:val="center"/>
          </w:tcPr>
          <w:p>
            <w:pPr>
              <w:pStyle w:val="TableContents"/>
              <w:bidi w:val="0"/>
              <w:spacing w:before="0" w:after="283"/>
              <w:jc w:val="left"/>
              <w:rPr/>
            </w:pPr>
            <w:r>
              <w:rPr/>
              <w:t>Manager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234" w:type="dxa"/>
        <w:jc w:val="left"/>
        <w:tblInd w:w="0" w:type="dxa"/>
        <w:tblLayout w:type="fixed"/>
        <w:tblCellMar>
          <w:top w:w="0" w:type="dxa"/>
          <w:left w:w="0" w:type="dxa"/>
          <w:bottom w:w="0" w:type="dxa"/>
          <w:right w:w="0" w:type="dxa"/>
        </w:tblCellMar>
      </w:tblPr>
      <w:tblGrid>
        <w:gridCol w:w="75"/>
        <w:gridCol w:w="1153"/>
        <w:gridCol w:w="3006"/>
      </w:tblGrid>
      <w:tr>
        <w:trPr/>
        <w:tc>
          <w:tcPr>
            <w:tcW w:w="75"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b/>
              </w:rPr>
            </w:pPr>
            <w:r>
              <w:rPr>
                <w:b/>
              </w:rPr>
              <w:t>EMERALD BAY VENTURES II, LLC</w:t>
            </w:r>
          </w:p>
        </w:tc>
      </w:tr>
      <w:tr>
        <w:trPr/>
        <w:tc>
          <w:tcPr>
            <w:tcW w:w="75"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By:</w:t>
            </w:r>
          </w:p>
        </w:tc>
        <w:tc>
          <w:tcPr>
            <w:tcW w:w="3006" w:type="dxa"/>
            <w:tcBorders>
              <w:bottom w:val="single" w:sz="12" w:space="0" w:color="000000"/>
            </w:tcBorders>
            <w:tcMar>
              <w:bottom w:w="28" w:type="dxa"/>
            </w:tcMar>
            <w:vAlign w:val="center"/>
          </w:tcPr>
          <w:p>
            <w:pPr>
              <w:pStyle w:val="TableContents"/>
              <w:bidi w:val="0"/>
              <w:spacing w:before="0" w:after="283"/>
              <w:jc w:val="left"/>
              <w:rPr/>
            </w:pPr>
            <w:r>
              <w:rPr/>
              <w:t>/s/ James Slavik</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Name: </w:t>
            </w:r>
          </w:p>
        </w:tc>
        <w:tc>
          <w:tcPr>
            <w:tcW w:w="3006" w:type="dxa"/>
            <w:tcBorders/>
            <w:vAlign w:val="center"/>
          </w:tcPr>
          <w:p>
            <w:pPr>
              <w:pStyle w:val="TableContents"/>
              <w:bidi w:val="0"/>
              <w:spacing w:before="0" w:after="283"/>
              <w:jc w:val="left"/>
              <w:rPr/>
            </w:pPr>
            <w:r>
              <w:rPr/>
              <w:t>James Slavik</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Title:</w:t>
            </w:r>
          </w:p>
        </w:tc>
        <w:tc>
          <w:tcPr>
            <w:tcW w:w="3006" w:type="dxa"/>
            <w:tcBorders/>
            <w:vAlign w:val="center"/>
          </w:tcPr>
          <w:p>
            <w:pPr>
              <w:pStyle w:val="TableContents"/>
              <w:bidi w:val="0"/>
              <w:spacing w:before="0" w:after="283"/>
              <w:jc w:val="left"/>
              <w:rPr/>
            </w:pPr>
            <w:r>
              <w:rPr/>
              <w:t>Managing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710"/>
        <w:gridCol w:w="4445"/>
      </w:tblGrid>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b/>
              </w:rPr>
            </w:pPr>
            <w:r>
              <w:rPr>
                <w:b/>
              </w:rPr>
              <w:t>FIRST ROUND CAPITAL VI, L.P.</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445" w:type="dxa"/>
            <w:tcBorders/>
            <w:vAlign w:val="center"/>
          </w:tcPr>
          <w:p>
            <w:pPr>
              <w:pStyle w:val="TableContents"/>
              <w:bidi w:val="0"/>
              <w:spacing w:before="0" w:after="283"/>
              <w:jc w:val="left"/>
              <w:rPr/>
            </w:pPr>
            <w:r>
              <w:rPr/>
              <w:t>First Round Capital Management VI, L.P.</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Its:</w:t>
            </w:r>
          </w:p>
        </w:tc>
        <w:tc>
          <w:tcPr>
            <w:tcW w:w="4445"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445" w:type="dxa"/>
            <w:tcBorders/>
            <w:vAlign w:val="center"/>
          </w:tcPr>
          <w:p>
            <w:pPr>
              <w:pStyle w:val="TableContents"/>
              <w:bidi w:val="0"/>
              <w:spacing w:before="0" w:after="283"/>
              <w:jc w:val="left"/>
              <w:rPr/>
            </w:pPr>
            <w:r>
              <w:rPr/>
              <w:t>First Round Capital Management VI, LLC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Its:</w:t>
            </w:r>
          </w:p>
        </w:tc>
        <w:tc>
          <w:tcPr>
            <w:tcW w:w="4445"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445" w:type="dxa"/>
            <w:tcBorders>
              <w:bottom w:val="single" w:sz="12" w:space="0" w:color="000000"/>
            </w:tcBorders>
            <w:tcMar>
              <w:bottom w:w="28" w:type="dxa"/>
            </w:tcMar>
            <w:vAlign w:val="center"/>
          </w:tcPr>
          <w:p>
            <w:pPr>
              <w:pStyle w:val="TableContents"/>
              <w:bidi w:val="0"/>
              <w:spacing w:before="0" w:after="283"/>
              <w:jc w:val="left"/>
              <w:rPr/>
            </w:pPr>
            <w:r>
              <w:rPr/>
              <w:t>/s/ Josh Kopelman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4445" w:type="dxa"/>
            <w:tcBorders/>
            <w:vAlign w:val="center"/>
          </w:tcPr>
          <w:p>
            <w:pPr>
              <w:pStyle w:val="TableContents"/>
              <w:bidi w:val="0"/>
              <w:spacing w:before="0" w:after="283"/>
              <w:jc w:val="left"/>
              <w:rPr/>
            </w:pPr>
            <w:r>
              <w:rPr/>
              <w:t>Josh Kopelman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4445" w:type="dxa"/>
            <w:tcBorders/>
            <w:vAlign w:val="center"/>
          </w:tcPr>
          <w:p>
            <w:pPr>
              <w:pStyle w:val="TableContents"/>
              <w:bidi w:val="0"/>
              <w:spacing w:before="0" w:after="283"/>
              <w:jc w:val="left"/>
              <w:rPr/>
            </w:pPr>
            <w:r>
              <w:rPr/>
              <w:t>Partner</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b/>
              </w:rPr>
            </w:pPr>
            <w:r>
              <w:rPr>
                <w:b/>
              </w:rPr>
              <w:t>FIRST ROUND CAPITAL VIII-F, L.P.</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pPr>
            <w:r>
              <w:rPr/>
              <w:t>as nominee for</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pPr>
            <w:r>
              <w:rPr/>
              <w:t>First Round Capital VIII-F, L.P.</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pPr>
            <w:r>
              <w:rPr/>
              <w:t>First Round Capital VIII-F Partners Fund, L.P.</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445" w:type="dxa"/>
            <w:tcBorders/>
            <w:vAlign w:val="center"/>
          </w:tcPr>
          <w:p>
            <w:pPr>
              <w:pStyle w:val="TableContents"/>
              <w:bidi w:val="0"/>
              <w:spacing w:before="0" w:after="283"/>
              <w:jc w:val="left"/>
              <w:rPr/>
            </w:pPr>
            <w:r>
              <w:rPr/>
              <w:t>First Round Capital Management VIII-F, L.P.</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Its:</w:t>
            </w:r>
          </w:p>
        </w:tc>
        <w:tc>
          <w:tcPr>
            <w:tcW w:w="4445"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445" w:type="dxa"/>
            <w:tcBorders/>
            <w:vAlign w:val="center"/>
          </w:tcPr>
          <w:p>
            <w:pPr>
              <w:pStyle w:val="TableContents"/>
              <w:bidi w:val="0"/>
              <w:spacing w:before="0" w:after="283"/>
              <w:jc w:val="left"/>
              <w:rPr/>
            </w:pPr>
            <w:r>
              <w:rPr/>
              <w:t>First Round Capital Management VIII-F, LLC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Its:</w:t>
            </w:r>
          </w:p>
        </w:tc>
        <w:tc>
          <w:tcPr>
            <w:tcW w:w="4445"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445" w:type="dxa"/>
            <w:tcBorders>
              <w:bottom w:val="single" w:sz="12" w:space="0" w:color="000000"/>
            </w:tcBorders>
            <w:tcMar>
              <w:bottom w:w="28" w:type="dxa"/>
            </w:tcMar>
            <w:vAlign w:val="center"/>
          </w:tcPr>
          <w:p>
            <w:pPr>
              <w:pStyle w:val="TableContents"/>
              <w:bidi w:val="0"/>
              <w:spacing w:before="0" w:after="283"/>
              <w:jc w:val="left"/>
              <w:rPr/>
            </w:pPr>
            <w:r>
              <w:rPr/>
              <w:t>/s/ Josh Kopelman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4445" w:type="dxa"/>
            <w:tcBorders/>
            <w:vAlign w:val="center"/>
          </w:tcPr>
          <w:p>
            <w:pPr>
              <w:pStyle w:val="TableContents"/>
              <w:bidi w:val="0"/>
              <w:spacing w:before="0" w:after="283"/>
              <w:jc w:val="left"/>
              <w:rPr/>
            </w:pPr>
            <w:r>
              <w:rPr/>
              <w:t>Josh Kopelman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4445" w:type="dxa"/>
            <w:tcBorders/>
            <w:vAlign w:val="center"/>
          </w:tcPr>
          <w:p>
            <w:pPr>
              <w:pStyle w:val="TableContents"/>
              <w:bidi w:val="0"/>
              <w:spacing w:before="0" w:after="283"/>
              <w:jc w:val="left"/>
              <w:rPr/>
            </w:pPr>
            <w:r>
              <w:rPr/>
              <w:t>Partner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7069" w:type="dxa"/>
        <w:jc w:val="left"/>
        <w:tblInd w:w="0" w:type="dxa"/>
        <w:tblLayout w:type="fixed"/>
        <w:tblCellMar>
          <w:top w:w="0" w:type="dxa"/>
          <w:left w:w="0" w:type="dxa"/>
          <w:bottom w:w="0" w:type="dxa"/>
          <w:right w:w="0" w:type="dxa"/>
        </w:tblCellMar>
      </w:tblPr>
      <w:tblGrid>
        <w:gridCol w:w="75"/>
        <w:gridCol w:w="1381"/>
        <w:gridCol w:w="5613"/>
      </w:tblGrid>
      <w:tr>
        <w:trPr/>
        <w:tc>
          <w:tcPr>
            <w:tcW w:w="75"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b/>
              </w:rPr>
            </w:pPr>
            <w:r>
              <w:rPr>
                <w:b/>
              </w:rPr>
              <w:t>FLOODGATE FUND VI, L.P.</w:t>
            </w:r>
          </w:p>
        </w:tc>
      </w:tr>
      <w:tr>
        <w:trPr/>
        <w:tc>
          <w:tcPr>
            <w:tcW w:w="75"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pPr>
            <w:r>
              <w:rPr/>
              <w:t>on behalf of itself and as nominee for certain other individuals and entities</w:t>
            </w:r>
          </w:p>
        </w:tc>
      </w:tr>
      <w:tr>
        <w:trPr/>
        <w:tc>
          <w:tcPr>
            <w:tcW w:w="75"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By:</w:t>
            </w:r>
          </w:p>
        </w:tc>
        <w:tc>
          <w:tcPr>
            <w:tcW w:w="5613" w:type="dxa"/>
            <w:tcBorders/>
            <w:vAlign w:val="center"/>
          </w:tcPr>
          <w:p>
            <w:pPr>
              <w:pStyle w:val="TableContents"/>
              <w:bidi w:val="0"/>
              <w:spacing w:before="0" w:after="283"/>
              <w:jc w:val="left"/>
              <w:rPr/>
            </w:pPr>
            <w:r>
              <w:rPr/>
              <w:t>Floodgate Partners VI, L.L.C.</w:t>
            </w:r>
          </w:p>
        </w:tc>
      </w:tr>
      <w:tr>
        <w:trPr/>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xml:space="preserve">Its: </w:t>
            </w:r>
          </w:p>
        </w:tc>
        <w:tc>
          <w:tcPr>
            <w:tcW w:w="5613"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w:t>
            </w:r>
          </w:p>
        </w:tc>
        <w:tc>
          <w:tcPr>
            <w:tcW w:w="56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By:</w:t>
            </w:r>
          </w:p>
        </w:tc>
        <w:tc>
          <w:tcPr>
            <w:tcW w:w="5613" w:type="dxa"/>
            <w:tcBorders>
              <w:bottom w:val="single" w:sz="12" w:space="0" w:color="000000"/>
            </w:tcBorders>
            <w:tcMar>
              <w:bottom w:w="28" w:type="dxa"/>
            </w:tcMar>
            <w:vAlign w:val="center"/>
          </w:tcPr>
          <w:p>
            <w:pPr>
              <w:pStyle w:val="TableContents"/>
              <w:bidi w:val="0"/>
              <w:spacing w:before="0" w:after="283"/>
              <w:jc w:val="left"/>
              <w:rPr/>
            </w:pPr>
            <w:r>
              <w:rPr/>
              <w:t>/s/ R. Ann Miura-Ko</w:t>
            </w:r>
          </w:p>
        </w:tc>
      </w:tr>
      <w:tr>
        <w:trPr/>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Name: </w:t>
            </w:r>
          </w:p>
        </w:tc>
        <w:tc>
          <w:tcPr>
            <w:tcW w:w="5613" w:type="dxa"/>
            <w:tcBorders/>
            <w:vAlign w:val="center"/>
          </w:tcPr>
          <w:p>
            <w:pPr>
              <w:pStyle w:val="TableContents"/>
              <w:bidi w:val="0"/>
              <w:spacing w:before="0" w:after="283"/>
              <w:jc w:val="left"/>
              <w:rPr/>
            </w:pPr>
            <w:r>
              <w:rPr/>
              <w:t>R. Ann Miura-Ko</w:t>
            </w:r>
          </w:p>
        </w:tc>
      </w:tr>
      <w:tr>
        <w:trPr/>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Title:</w:t>
            </w:r>
          </w:p>
        </w:tc>
        <w:tc>
          <w:tcPr>
            <w:tcW w:w="5613" w:type="dxa"/>
            <w:tcBorders/>
            <w:vAlign w:val="center"/>
          </w:tcPr>
          <w:p>
            <w:pPr>
              <w:pStyle w:val="TableContents"/>
              <w:bidi w:val="0"/>
              <w:spacing w:before="0" w:after="283"/>
              <w:jc w:val="left"/>
              <w:rPr/>
            </w:pPr>
            <w:r>
              <w:rPr/>
              <w:t>Managing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204" w:type="dxa"/>
        <w:jc w:val="left"/>
        <w:tblInd w:w="0" w:type="dxa"/>
        <w:tblLayout w:type="fixed"/>
        <w:tblCellMar>
          <w:top w:w="0" w:type="dxa"/>
          <w:left w:w="0" w:type="dxa"/>
          <w:bottom w:w="0" w:type="dxa"/>
          <w:right w:w="0" w:type="dxa"/>
        </w:tblCellMar>
      </w:tblPr>
      <w:tblGrid>
        <w:gridCol w:w="75"/>
        <w:gridCol w:w="815"/>
        <w:gridCol w:w="3314"/>
      </w:tblGrid>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b/>
              </w:rPr>
            </w:pPr>
            <w:r>
              <w:rPr>
                <w:b/>
              </w:rPr>
              <w:t>HARPOON VENTURES FUND I, L.P.</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By:</w:t>
            </w:r>
          </w:p>
        </w:tc>
        <w:tc>
          <w:tcPr>
            <w:tcW w:w="3314" w:type="dxa"/>
            <w:tcBorders/>
            <w:vAlign w:val="center"/>
          </w:tcPr>
          <w:p>
            <w:pPr>
              <w:pStyle w:val="TableContents"/>
              <w:bidi w:val="0"/>
              <w:spacing w:before="0" w:after="283"/>
              <w:jc w:val="left"/>
              <w:rPr/>
            </w:pPr>
            <w:r>
              <w:rPr/>
              <w:t>Harpoon Ventures I GP, LLC</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Its:</w:t>
            </w:r>
          </w:p>
        </w:tc>
        <w:tc>
          <w:tcPr>
            <w:tcW w:w="3314"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By:</w:t>
            </w:r>
          </w:p>
        </w:tc>
        <w:tc>
          <w:tcPr>
            <w:tcW w:w="3314" w:type="dxa"/>
            <w:tcBorders>
              <w:bottom w:val="single" w:sz="12" w:space="0" w:color="000000"/>
            </w:tcBorders>
            <w:tcMar>
              <w:bottom w:w="28" w:type="dxa"/>
            </w:tcMar>
            <w:vAlign w:val="center"/>
          </w:tcPr>
          <w:p>
            <w:pPr>
              <w:pStyle w:val="TableContents"/>
              <w:bidi w:val="0"/>
              <w:spacing w:before="0" w:after="283"/>
              <w:jc w:val="left"/>
              <w:rPr/>
            </w:pPr>
            <w:r>
              <w:rPr/>
              <w:t>/s/ Larsen Jensen</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Name: </w:t>
            </w:r>
          </w:p>
        </w:tc>
        <w:tc>
          <w:tcPr>
            <w:tcW w:w="3314" w:type="dxa"/>
            <w:tcBorders/>
            <w:vAlign w:val="center"/>
          </w:tcPr>
          <w:p>
            <w:pPr>
              <w:pStyle w:val="TableContents"/>
              <w:bidi w:val="0"/>
              <w:spacing w:before="0" w:after="283"/>
              <w:jc w:val="left"/>
              <w:rPr/>
            </w:pPr>
            <w:r>
              <w:rPr/>
              <w:t>Larsen Jensen</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Title:</w:t>
            </w:r>
          </w:p>
        </w:tc>
        <w:tc>
          <w:tcPr>
            <w:tcW w:w="3314" w:type="dxa"/>
            <w:tcBorders/>
            <w:vAlign w:val="center"/>
          </w:tcPr>
          <w:p>
            <w:pPr>
              <w:pStyle w:val="TableContents"/>
              <w:bidi w:val="0"/>
              <w:spacing w:before="0" w:after="283"/>
              <w:jc w:val="left"/>
              <w:rPr/>
            </w:pPr>
            <w:r>
              <w:rPr/>
              <w:t>Managing Director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650"/>
        <w:gridCol w:w="2570"/>
      </w:tblGrid>
      <w:tr>
        <w:trPr/>
        <w:tc>
          <w:tcPr>
            <w:tcW w:w="75" w:type="dxa"/>
            <w:tcBorders/>
            <w:vAlign w:val="center"/>
          </w:tcPr>
          <w:p>
            <w:pPr>
              <w:pStyle w:val="TableContents"/>
              <w:bidi w:val="0"/>
              <w:spacing w:before="0" w:after="283"/>
              <w:jc w:val="left"/>
              <w:rPr/>
            </w:pPr>
            <w:r>
              <w:rPr/>
              <w:t> </w:t>
            </w:r>
          </w:p>
        </w:tc>
        <w:tc>
          <w:tcPr>
            <w:tcW w:w="3220"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32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20" w:type="dxa"/>
            <w:gridSpan w:val="2"/>
            <w:tcBorders/>
            <w:vAlign w:val="center"/>
          </w:tcPr>
          <w:p>
            <w:pPr>
              <w:pStyle w:val="TableContents"/>
              <w:bidi w:val="0"/>
              <w:spacing w:before="0" w:after="283"/>
              <w:jc w:val="left"/>
              <w:rPr>
                <w:b/>
              </w:rPr>
            </w:pPr>
            <w:r>
              <w:rPr>
                <w:b/>
              </w:rPr>
              <w:t>MARK IV CAPITAL, INC.</w:t>
            </w:r>
          </w:p>
        </w:tc>
      </w:tr>
      <w:tr>
        <w:trPr/>
        <w:tc>
          <w:tcPr>
            <w:tcW w:w="75" w:type="dxa"/>
            <w:tcBorders/>
            <w:vAlign w:val="center"/>
          </w:tcPr>
          <w:p>
            <w:pPr>
              <w:pStyle w:val="TableContents"/>
              <w:bidi w:val="0"/>
              <w:spacing w:before="0" w:after="283"/>
              <w:jc w:val="left"/>
              <w:rPr/>
            </w:pPr>
            <w:r>
              <w:rPr/>
              <w:t> </w:t>
            </w:r>
          </w:p>
        </w:tc>
        <w:tc>
          <w:tcPr>
            <w:tcW w:w="32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570" w:type="dxa"/>
            <w:tcBorders>
              <w:bottom w:val="single" w:sz="12" w:space="0" w:color="000000"/>
            </w:tcBorders>
            <w:tcMar>
              <w:bottom w:w="28" w:type="dxa"/>
            </w:tcMar>
            <w:vAlign w:val="center"/>
          </w:tcPr>
          <w:p>
            <w:pPr>
              <w:pStyle w:val="TableContents"/>
              <w:bidi w:val="0"/>
              <w:spacing w:before="0" w:after="283"/>
              <w:jc w:val="left"/>
              <w:rPr/>
            </w:pPr>
            <w:r>
              <w:rPr/>
              <w:t>/s/ Michael S. Beaudoin II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570" w:type="dxa"/>
            <w:tcBorders/>
            <w:vAlign w:val="center"/>
          </w:tcPr>
          <w:p>
            <w:pPr>
              <w:pStyle w:val="TableContents"/>
              <w:bidi w:val="0"/>
              <w:spacing w:before="0" w:after="283"/>
              <w:jc w:val="left"/>
              <w:rPr/>
            </w:pPr>
            <w:r>
              <w:rPr/>
              <w:t>Michael S. Beaudoin II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570" w:type="dxa"/>
            <w:tcBorders/>
            <w:vAlign w:val="center"/>
          </w:tcPr>
          <w:p>
            <w:pPr>
              <w:pStyle w:val="TableContents"/>
              <w:bidi w:val="0"/>
              <w:spacing w:before="0" w:after="283"/>
              <w:jc w:val="left"/>
              <w:rPr/>
            </w:pPr>
            <w:r>
              <w:rPr/>
              <w:t>President of Private Equity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0" w:right="18" w:firstLine="2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770"/>
        <w:gridCol w:w="2555"/>
      </w:tblGrid>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b/>
              </w:rPr>
            </w:pPr>
            <w:r>
              <w:rPr>
                <w:b/>
              </w:rPr>
              <w:t>QUIET VENTURE I, LP</w:t>
            </w:r>
          </w:p>
        </w:tc>
      </w:tr>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By:</w:t>
            </w:r>
          </w:p>
        </w:tc>
        <w:tc>
          <w:tcPr>
            <w:tcW w:w="2555" w:type="dxa"/>
            <w:tcBorders/>
            <w:vAlign w:val="center"/>
          </w:tcPr>
          <w:p>
            <w:pPr>
              <w:pStyle w:val="TableContents"/>
              <w:bidi w:val="0"/>
              <w:spacing w:before="0" w:after="283"/>
              <w:jc w:val="left"/>
              <w:rPr/>
            </w:pPr>
            <w:r>
              <w:rPr/>
              <w:t>Quiet Venture I GP, LLC</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Its:</w:t>
            </w:r>
          </w:p>
        </w:tc>
        <w:tc>
          <w:tcPr>
            <w:tcW w:w="2555"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By:</w:t>
            </w:r>
          </w:p>
        </w:tc>
        <w:tc>
          <w:tcPr>
            <w:tcW w:w="2555" w:type="dxa"/>
            <w:tcBorders>
              <w:bottom w:val="single" w:sz="12" w:space="0" w:color="000000"/>
            </w:tcBorders>
            <w:tcMar>
              <w:bottom w:w="28" w:type="dxa"/>
            </w:tcMar>
            <w:vAlign w:val="center"/>
          </w:tcPr>
          <w:p>
            <w:pPr>
              <w:pStyle w:val="TableContents"/>
              <w:bidi w:val="0"/>
              <w:spacing w:before="0" w:after="283"/>
              <w:jc w:val="left"/>
              <w:rPr/>
            </w:pPr>
            <w:r>
              <w:rPr/>
              <w:t>/s/ Tayla Levi</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Name:  </w:t>
            </w:r>
          </w:p>
        </w:tc>
        <w:tc>
          <w:tcPr>
            <w:tcW w:w="2555" w:type="dxa"/>
            <w:tcBorders/>
            <w:vAlign w:val="center"/>
          </w:tcPr>
          <w:p>
            <w:pPr>
              <w:pStyle w:val="TableContents"/>
              <w:bidi w:val="0"/>
              <w:spacing w:before="0" w:after="283"/>
              <w:jc w:val="left"/>
              <w:rPr/>
            </w:pPr>
            <w:r>
              <w:rPr/>
              <w:t>Tayla Levi</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2555" w:type="dxa"/>
            <w:tcBorders/>
            <w:vAlign w:val="center"/>
          </w:tcPr>
          <w:p>
            <w:pPr>
              <w:pStyle w:val="TableContents"/>
              <w:bidi w:val="0"/>
              <w:spacing w:before="0" w:after="283"/>
              <w:jc w:val="left"/>
              <w:rPr/>
            </w:pPr>
            <w:r>
              <w:rPr/>
              <w:t>Deputy General Counsel</w:t>
            </w:r>
          </w:p>
        </w:tc>
      </w:tr>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b/>
              </w:rPr>
            </w:pPr>
            <w:r>
              <w:rPr>
                <w:b/>
              </w:rPr>
              <w:t>QUIET VENTURE II, L.P.</w:t>
            </w:r>
          </w:p>
        </w:tc>
      </w:tr>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By:</w:t>
            </w:r>
          </w:p>
        </w:tc>
        <w:tc>
          <w:tcPr>
            <w:tcW w:w="2555" w:type="dxa"/>
            <w:tcBorders/>
            <w:vAlign w:val="center"/>
          </w:tcPr>
          <w:p>
            <w:pPr>
              <w:pStyle w:val="TableContents"/>
              <w:bidi w:val="0"/>
              <w:spacing w:before="0" w:after="283"/>
              <w:jc w:val="left"/>
              <w:rPr/>
            </w:pPr>
            <w:r>
              <w:rPr/>
              <w:t>Quiet Venture II GP, LLC</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Its:</w:t>
            </w:r>
          </w:p>
        </w:tc>
        <w:tc>
          <w:tcPr>
            <w:tcW w:w="2555"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By:</w:t>
            </w:r>
          </w:p>
        </w:tc>
        <w:tc>
          <w:tcPr>
            <w:tcW w:w="2555" w:type="dxa"/>
            <w:tcBorders>
              <w:bottom w:val="single" w:sz="12" w:space="0" w:color="000000"/>
            </w:tcBorders>
            <w:tcMar>
              <w:bottom w:w="28" w:type="dxa"/>
            </w:tcMar>
            <w:vAlign w:val="center"/>
          </w:tcPr>
          <w:p>
            <w:pPr>
              <w:pStyle w:val="TableContents"/>
              <w:bidi w:val="0"/>
              <w:spacing w:before="0" w:after="283"/>
              <w:jc w:val="left"/>
              <w:rPr/>
            </w:pPr>
            <w:r>
              <w:rPr/>
              <w:t>/s/ Tayla Levi</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Name:</w:t>
            </w:r>
          </w:p>
        </w:tc>
        <w:tc>
          <w:tcPr>
            <w:tcW w:w="2555" w:type="dxa"/>
            <w:tcBorders/>
            <w:vAlign w:val="center"/>
          </w:tcPr>
          <w:p>
            <w:pPr>
              <w:pStyle w:val="TableContents"/>
              <w:bidi w:val="0"/>
              <w:spacing w:before="0" w:after="283"/>
              <w:jc w:val="left"/>
              <w:rPr/>
            </w:pPr>
            <w:r>
              <w:rPr/>
              <w:t>Tayla Levi</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2555" w:type="dxa"/>
            <w:tcBorders/>
            <w:vAlign w:val="center"/>
          </w:tcPr>
          <w:p>
            <w:pPr>
              <w:pStyle w:val="TableContents"/>
              <w:bidi w:val="0"/>
              <w:spacing w:before="0" w:after="283"/>
              <w:jc w:val="left"/>
              <w:rPr/>
            </w:pPr>
            <w:r>
              <w:rPr/>
              <w:t>Deputy General Counsel</w:t>
            </w:r>
          </w:p>
        </w:tc>
      </w:tr>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b/>
              </w:rPr>
            </w:pPr>
            <w:r>
              <w:rPr>
                <w:b/>
              </w:rPr>
              <w:t>QUIET ML, LP</w:t>
            </w:r>
          </w:p>
        </w:tc>
      </w:tr>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By:</w:t>
            </w:r>
          </w:p>
        </w:tc>
        <w:tc>
          <w:tcPr>
            <w:tcW w:w="2555" w:type="dxa"/>
            <w:tcBorders/>
            <w:vAlign w:val="center"/>
          </w:tcPr>
          <w:p>
            <w:pPr>
              <w:pStyle w:val="TableContents"/>
              <w:bidi w:val="0"/>
              <w:spacing w:before="0" w:after="283"/>
              <w:jc w:val="left"/>
              <w:rPr/>
            </w:pPr>
            <w:r>
              <w:rPr/>
              <w:t>Quiet ML GP, LLC</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Its: </w:t>
            </w:r>
          </w:p>
        </w:tc>
        <w:tc>
          <w:tcPr>
            <w:tcW w:w="2555"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By:</w:t>
            </w:r>
          </w:p>
        </w:tc>
        <w:tc>
          <w:tcPr>
            <w:tcW w:w="2555" w:type="dxa"/>
            <w:tcBorders>
              <w:bottom w:val="single" w:sz="12" w:space="0" w:color="000000"/>
            </w:tcBorders>
            <w:tcMar>
              <w:bottom w:w="28" w:type="dxa"/>
            </w:tcMar>
            <w:vAlign w:val="center"/>
          </w:tcPr>
          <w:p>
            <w:pPr>
              <w:pStyle w:val="TableContents"/>
              <w:bidi w:val="0"/>
              <w:spacing w:before="0" w:after="283"/>
              <w:jc w:val="left"/>
              <w:rPr/>
            </w:pPr>
            <w:r>
              <w:rPr/>
              <w:t>/s/ Tayla Levi</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Name:</w:t>
            </w:r>
          </w:p>
        </w:tc>
        <w:tc>
          <w:tcPr>
            <w:tcW w:w="2555" w:type="dxa"/>
            <w:tcBorders/>
            <w:vAlign w:val="center"/>
          </w:tcPr>
          <w:p>
            <w:pPr>
              <w:pStyle w:val="TableContents"/>
              <w:bidi w:val="0"/>
              <w:spacing w:before="0" w:after="283"/>
              <w:jc w:val="left"/>
              <w:rPr/>
            </w:pPr>
            <w:r>
              <w:rPr/>
              <w:t>Tayla Levi</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2555" w:type="dxa"/>
            <w:tcBorders/>
            <w:vAlign w:val="center"/>
          </w:tcPr>
          <w:p>
            <w:pPr>
              <w:pStyle w:val="TableContents"/>
              <w:bidi w:val="0"/>
              <w:spacing w:before="0" w:after="283"/>
              <w:jc w:val="left"/>
              <w:rPr/>
            </w:pPr>
            <w:r>
              <w:rPr/>
              <w:t>Deputy General Counsel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384" w:type="dxa"/>
        <w:jc w:val="left"/>
        <w:tblInd w:w="0" w:type="dxa"/>
        <w:tblLayout w:type="fixed"/>
        <w:tblCellMar>
          <w:top w:w="0" w:type="dxa"/>
          <w:left w:w="0" w:type="dxa"/>
          <w:bottom w:w="0" w:type="dxa"/>
          <w:right w:w="0" w:type="dxa"/>
        </w:tblCellMar>
      </w:tblPr>
      <w:tblGrid>
        <w:gridCol w:w="75"/>
        <w:gridCol w:w="896"/>
        <w:gridCol w:w="3413"/>
      </w:tblGrid>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b/>
              </w:rPr>
            </w:pPr>
            <w:r>
              <w:rPr>
                <w:b/>
              </w:rPr>
              <w:t>SCHOX VENTURE CAPITAL, LP – A4</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By:</w:t>
            </w:r>
          </w:p>
        </w:tc>
        <w:tc>
          <w:tcPr>
            <w:tcW w:w="3413" w:type="dxa"/>
            <w:tcBorders/>
            <w:vAlign w:val="center"/>
          </w:tcPr>
          <w:p>
            <w:pPr>
              <w:pStyle w:val="TableContents"/>
              <w:bidi w:val="0"/>
              <w:spacing w:before="0" w:after="283"/>
              <w:jc w:val="left"/>
              <w:rPr/>
            </w:pPr>
            <w:r>
              <w:rPr/>
              <w:t>Fund GP, LLC</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Its:</w:t>
            </w:r>
          </w:p>
        </w:tc>
        <w:tc>
          <w:tcPr>
            <w:tcW w:w="3413"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By:</w:t>
            </w:r>
          </w:p>
        </w:tc>
        <w:tc>
          <w:tcPr>
            <w:tcW w:w="3413" w:type="dxa"/>
            <w:tcBorders/>
            <w:vAlign w:val="center"/>
          </w:tcPr>
          <w:p>
            <w:pPr>
              <w:pStyle w:val="TableContents"/>
              <w:bidi w:val="0"/>
              <w:spacing w:before="0" w:after="283"/>
              <w:jc w:val="left"/>
              <w:rPr/>
            </w:pPr>
            <w:r>
              <w:rPr/>
              <w:t>Belltower Fund Group, Ltd.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Its:</w:t>
            </w:r>
          </w:p>
        </w:tc>
        <w:tc>
          <w:tcPr>
            <w:tcW w:w="3413" w:type="dxa"/>
            <w:tcBorders/>
            <w:vAlign w:val="center"/>
          </w:tcPr>
          <w:p>
            <w:pPr>
              <w:pStyle w:val="TableContents"/>
              <w:bidi w:val="0"/>
              <w:spacing w:before="0" w:after="283"/>
              <w:jc w:val="left"/>
              <w:rPr/>
            </w:pPr>
            <w:r>
              <w:rPr/>
              <w:t>Agent</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By:</w:t>
            </w:r>
          </w:p>
        </w:tc>
        <w:tc>
          <w:tcPr>
            <w:tcW w:w="3413" w:type="dxa"/>
            <w:tcBorders>
              <w:bottom w:val="single" w:sz="12" w:space="0" w:color="000000"/>
            </w:tcBorders>
            <w:tcMar>
              <w:bottom w:w="28" w:type="dxa"/>
            </w:tcMar>
            <w:vAlign w:val="center"/>
          </w:tcPr>
          <w:p>
            <w:pPr>
              <w:pStyle w:val="TableContents"/>
              <w:bidi w:val="0"/>
              <w:spacing w:before="0" w:after="283"/>
              <w:jc w:val="left"/>
              <w:rPr/>
            </w:pPr>
            <w:r>
              <w:rPr/>
              <w:t>/s/ Paul Larkin</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Name: </w:t>
            </w:r>
          </w:p>
        </w:tc>
        <w:tc>
          <w:tcPr>
            <w:tcW w:w="3413" w:type="dxa"/>
            <w:tcBorders/>
            <w:vAlign w:val="center"/>
          </w:tcPr>
          <w:p>
            <w:pPr>
              <w:pStyle w:val="TableContents"/>
              <w:bidi w:val="0"/>
              <w:spacing w:before="0" w:after="283"/>
              <w:jc w:val="left"/>
              <w:rPr/>
            </w:pPr>
            <w:r>
              <w:rPr/>
              <w:t>Paul Larkin</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Title:</w:t>
            </w:r>
          </w:p>
        </w:tc>
        <w:tc>
          <w:tcPr>
            <w:tcW w:w="3413" w:type="dxa"/>
            <w:tcBorders/>
            <w:vAlign w:val="center"/>
          </w:tcPr>
          <w:p>
            <w:pPr>
              <w:pStyle w:val="TableContents"/>
              <w:bidi w:val="0"/>
              <w:spacing w:before="0" w:after="283"/>
              <w:jc w:val="left"/>
              <w:rPr/>
            </w:pPr>
            <w:r>
              <w:rPr/>
              <w:t>Authorized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723"/>
        <w:gridCol w:w="3016"/>
      </w:tblGrid>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b/>
              </w:rPr>
            </w:pPr>
            <w:r>
              <w:rPr>
                <w:b/>
              </w:rPr>
              <w:t>SNOWPOINT VENTURES, LP</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By:</w:t>
            </w:r>
          </w:p>
        </w:tc>
        <w:tc>
          <w:tcPr>
            <w:tcW w:w="3016" w:type="dxa"/>
            <w:tcBorders/>
            <w:vAlign w:val="center"/>
          </w:tcPr>
          <w:p>
            <w:pPr>
              <w:pStyle w:val="TableContents"/>
              <w:bidi w:val="0"/>
              <w:spacing w:before="0" w:after="283"/>
              <w:jc w:val="left"/>
              <w:rPr/>
            </w:pPr>
            <w:r>
              <w:rPr/>
              <w:t>SnowPoint Ventures GP, LLC</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Its:</w:t>
            </w:r>
          </w:p>
        </w:tc>
        <w:tc>
          <w:tcPr>
            <w:tcW w:w="3016"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By:</w:t>
            </w:r>
          </w:p>
        </w:tc>
        <w:tc>
          <w:tcPr>
            <w:tcW w:w="3016" w:type="dxa"/>
            <w:tcBorders>
              <w:bottom w:val="single" w:sz="12" w:space="0" w:color="000000"/>
            </w:tcBorders>
            <w:tcMar>
              <w:bottom w:w="28" w:type="dxa"/>
            </w:tcMar>
            <w:vAlign w:val="center"/>
          </w:tcPr>
          <w:p>
            <w:pPr>
              <w:pStyle w:val="TableContents"/>
              <w:bidi w:val="0"/>
              <w:spacing w:before="0" w:after="283"/>
              <w:jc w:val="left"/>
              <w:rPr/>
            </w:pPr>
            <w:r>
              <w:rPr/>
              <w:t>/s/ Alexander Creasey</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Name: </w:t>
            </w:r>
          </w:p>
        </w:tc>
        <w:tc>
          <w:tcPr>
            <w:tcW w:w="3016" w:type="dxa"/>
            <w:tcBorders/>
            <w:vAlign w:val="center"/>
          </w:tcPr>
          <w:p>
            <w:pPr>
              <w:pStyle w:val="TableContents"/>
              <w:bidi w:val="0"/>
              <w:spacing w:before="0" w:after="283"/>
              <w:jc w:val="left"/>
              <w:rPr/>
            </w:pPr>
            <w:r>
              <w:rPr/>
              <w:t>Alexander Creasey</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Title:</w:t>
            </w:r>
          </w:p>
        </w:tc>
        <w:tc>
          <w:tcPr>
            <w:tcW w:w="3016" w:type="dxa"/>
            <w:tcBorders/>
            <w:vAlign w:val="center"/>
          </w:tcPr>
          <w:p>
            <w:pPr>
              <w:pStyle w:val="TableContents"/>
              <w:bidi w:val="0"/>
              <w:spacing w:before="0" w:after="283"/>
              <w:jc w:val="left"/>
              <w:rPr/>
            </w:pPr>
            <w:r>
              <w:rPr/>
              <w:t>Managing General Partner</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b/>
              </w:rPr>
            </w:pPr>
            <w:r>
              <w:rPr>
                <w:b/>
              </w:rPr>
              <w:t>SNOWPOINT GROWTH I.II, LLC</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By:</w:t>
            </w:r>
          </w:p>
        </w:tc>
        <w:tc>
          <w:tcPr>
            <w:tcW w:w="3016" w:type="dxa"/>
            <w:tcBorders/>
            <w:vAlign w:val="center"/>
          </w:tcPr>
          <w:p>
            <w:pPr>
              <w:pStyle w:val="TableContents"/>
              <w:bidi w:val="0"/>
              <w:spacing w:before="0" w:after="283"/>
              <w:jc w:val="left"/>
              <w:rPr/>
            </w:pPr>
            <w:r>
              <w:rPr/>
              <w:t>SnowPoint Ventures GP, LLC</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Its:</w:t>
            </w:r>
          </w:p>
        </w:tc>
        <w:tc>
          <w:tcPr>
            <w:tcW w:w="3016" w:type="dxa"/>
            <w:tcBorders/>
            <w:vAlign w:val="center"/>
          </w:tcPr>
          <w:p>
            <w:pPr>
              <w:pStyle w:val="TableContents"/>
              <w:bidi w:val="0"/>
              <w:spacing w:before="0" w:after="283"/>
              <w:jc w:val="left"/>
              <w:rPr/>
            </w:pPr>
            <w:r>
              <w:rPr/>
              <w:t>Manager</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30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By:</w:t>
            </w:r>
          </w:p>
        </w:tc>
        <w:tc>
          <w:tcPr>
            <w:tcW w:w="3016" w:type="dxa"/>
            <w:tcBorders>
              <w:bottom w:val="single" w:sz="12" w:space="0" w:color="000000"/>
            </w:tcBorders>
            <w:tcMar>
              <w:bottom w:w="28" w:type="dxa"/>
            </w:tcMar>
            <w:vAlign w:val="center"/>
          </w:tcPr>
          <w:p>
            <w:pPr>
              <w:pStyle w:val="TableContents"/>
              <w:bidi w:val="0"/>
              <w:spacing w:before="0" w:after="283"/>
              <w:jc w:val="left"/>
              <w:rPr/>
            </w:pPr>
            <w:r>
              <w:rPr/>
              <w:t>/s/ Alexander Creasey</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Name:</w:t>
            </w:r>
          </w:p>
        </w:tc>
        <w:tc>
          <w:tcPr>
            <w:tcW w:w="3016" w:type="dxa"/>
            <w:tcBorders/>
            <w:vAlign w:val="center"/>
          </w:tcPr>
          <w:p>
            <w:pPr>
              <w:pStyle w:val="TableContents"/>
              <w:bidi w:val="0"/>
              <w:spacing w:before="0" w:after="283"/>
              <w:jc w:val="left"/>
              <w:rPr/>
            </w:pPr>
            <w:r>
              <w:rPr/>
              <w:t>Alexander Creasey</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Title:</w:t>
            </w:r>
          </w:p>
        </w:tc>
        <w:tc>
          <w:tcPr>
            <w:tcW w:w="3016" w:type="dxa"/>
            <w:tcBorders/>
            <w:vAlign w:val="center"/>
          </w:tcPr>
          <w:p>
            <w:pPr>
              <w:pStyle w:val="TableContents"/>
              <w:bidi w:val="0"/>
              <w:spacing w:before="0" w:after="283"/>
              <w:jc w:val="left"/>
              <w:rPr/>
            </w:pPr>
            <w:r>
              <w:rPr/>
              <w:t>Managing General Partner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89"/>
        <w:gridCol w:w="7541"/>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b/>
              </w:rPr>
            </w:pPr>
            <w:r>
              <w:rPr>
                <w:b/>
              </w:rPr>
              <w:t>THE BOARD OF TRUSTEES OF THE LELAND STANFORD JUNIOR UNIVERSITY (DAPER I)</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89" w:type="dxa"/>
            <w:tcBorders/>
            <w:vAlign w:val="center"/>
          </w:tcPr>
          <w:p>
            <w:pPr>
              <w:pStyle w:val="TableContents"/>
              <w:bidi w:val="0"/>
              <w:spacing w:before="0" w:after="283"/>
              <w:jc w:val="left"/>
              <w:rPr/>
            </w:pPr>
            <w:r>
              <w:rPr/>
              <w:t>By:</w:t>
            </w:r>
          </w:p>
        </w:tc>
        <w:tc>
          <w:tcPr>
            <w:tcW w:w="7541" w:type="dxa"/>
            <w:tcBorders>
              <w:bottom w:val="single" w:sz="12" w:space="0" w:color="000000"/>
            </w:tcBorders>
            <w:tcMar>
              <w:bottom w:w="28" w:type="dxa"/>
            </w:tcMar>
            <w:vAlign w:val="center"/>
          </w:tcPr>
          <w:p>
            <w:pPr>
              <w:pStyle w:val="TableContents"/>
              <w:bidi w:val="0"/>
              <w:spacing w:before="0" w:after="283"/>
              <w:jc w:val="left"/>
              <w:rPr/>
            </w:pPr>
            <w:r>
              <w:rPr/>
              <w:t>/s/ Brian Favat</w:t>
            </w:r>
          </w:p>
        </w:tc>
      </w:tr>
      <w:tr>
        <w:trPr/>
        <w:tc>
          <w:tcPr>
            <w:tcW w:w="75" w:type="dxa"/>
            <w:tcBorders/>
            <w:vAlign w:val="center"/>
          </w:tcPr>
          <w:p>
            <w:pPr>
              <w:pStyle w:val="TableContents"/>
              <w:bidi w:val="0"/>
              <w:spacing w:before="0" w:after="283"/>
              <w:jc w:val="left"/>
              <w:rPr/>
            </w:pPr>
            <w:r>
              <w:rPr/>
              <w:t> </w:t>
            </w:r>
          </w:p>
        </w:tc>
        <w:tc>
          <w:tcPr>
            <w:tcW w:w="2589" w:type="dxa"/>
            <w:tcBorders/>
            <w:vAlign w:val="center"/>
          </w:tcPr>
          <w:p>
            <w:pPr>
              <w:pStyle w:val="TableContents"/>
              <w:bidi w:val="0"/>
              <w:spacing w:before="0" w:after="283"/>
              <w:jc w:val="left"/>
              <w:rPr/>
            </w:pPr>
            <w:r>
              <w:rPr/>
              <w:t>Name: </w:t>
            </w:r>
          </w:p>
        </w:tc>
        <w:tc>
          <w:tcPr>
            <w:tcW w:w="7541" w:type="dxa"/>
            <w:tcBorders/>
            <w:vAlign w:val="center"/>
          </w:tcPr>
          <w:p>
            <w:pPr>
              <w:pStyle w:val="TableContents"/>
              <w:bidi w:val="0"/>
              <w:spacing w:before="0" w:after="283"/>
              <w:jc w:val="left"/>
              <w:rPr/>
            </w:pPr>
            <w:r>
              <w:rPr/>
              <w:t>Brian Favat</w:t>
            </w:r>
          </w:p>
        </w:tc>
      </w:tr>
      <w:tr>
        <w:trPr/>
        <w:tc>
          <w:tcPr>
            <w:tcW w:w="75" w:type="dxa"/>
            <w:tcBorders/>
            <w:vAlign w:val="center"/>
          </w:tcPr>
          <w:p>
            <w:pPr>
              <w:pStyle w:val="TableContents"/>
              <w:bidi w:val="0"/>
              <w:spacing w:before="0" w:after="283"/>
              <w:jc w:val="left"/>
              <w:rPr/>
            </w:pPr>
            <w:r>
              <w:rPr/>
              <w:t> </w:t>
            </w:r>
          </w:p>
        </w:tc>
        <w:tc>
          <w:tcPr>
            <w:tcW w:w="2589" w:type="dxa"/>
            <w:tcBorders/>
            <w:vAlign w:val="center"/>
          </w:tcPr>
          <w:p>
            <w:pPr>
              <w:pStyle w:val="TableContents"/>
              <w:bidi w:val="0"/>
              <w:spacing w:before="0" w:after="283"/>
              <w:jc w:val="left"/>
              <w:rPr/>
            </w:pPr>
            <w:r>
              <w:rPr/>
              <w:t>Title:</w:t>
            </w:r>
          </w:p>
        </w:tc>
        <w:tc>
          <w:tcPr>
            <w:tcW w:w="7541"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75"/>
        <w:gridCol w:w="710"/>
        <w:gridCol w:w="2075"/>
      </w:tblGrid>
      <w:tr>
        <w:trPr/>
        <w:tc>
          <w:tcPr>
            <w:tcW w:w="75"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b/>
              </w:rPr>
            </w:pPr>
            <w:r>
              <w:rPr>
                <w:b/>
              </w:rPr>
              <w:t>SV ANGEL VII, L.L.C.</w:t>
            </w:r>
          </w:p>
        </w:tc>
      </w:tr>
      <w:tr>
        <w:trPr/>
        <w:tc>
          <w:tcPr>
            <w:tcW w:w="75"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075" w:type="dxa"/>
            <w:tcBorders>
              <w:bottom w:val="single" w:sz="12" w:space="0" w:color="000000"/>
            </w:tcBorders>
            <w:tcMar>
              <w:bottom w:w="28" w:type="dxa"/>
            </w:tcMar>
            <w:vAlign w:val="center"/>
          </w:tcPr>
          <w:p>
            <w:pPr>
              <w:pStyle w:val="TableContents"/>
              <w:bidi w:val="0"/>
              <w:spacing w:before="0" w:after="283"/>
              <w:jc w:val="left"/>
              <w:rPr/>
            </w:pPr>
            <w:r>
              <w:rPr/>
              <w:t>/s/ Robert Pollak</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075" w:type="dxa"/>
            <w:tcBorders/>
            <w:vAlign w:val="center"/>
          </w:tcPr>
          <w:p>
            <w:pPr>
              <w:pStyle w:val="TableContents"/>
              <w:bidi w:val="0"/>
              <w:spacing w:before="0" w:after="283"/>
              <w:jc w:val="left"/>
              <w:rPr/>
            </w:pPr>
            <w:r>
              <w:rPr/>
              <w:t>Robert Pollak</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075"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5074" w:type="dxa"/>
        <w:jc w:val="left"/>
        <w:tblInd w:w="0" w:type="dxa"/>
        <w:tblLayout w:type="fixed"/>
        <w:tblCellMar>
          <w:top w:w="0" w:type="dxa"/>
          <w:left w:w="0" w:type="dxa"/>
          <w:bottom w:w="0" w:type="dxa"/>
          <w:right w:w="0" w:type="dxa"/>
        </w:tblCellMar>
      </w:tblPr>
      <w:tblGrid>
        <w:gridCol w:w="75"/>
        <w:gridCol w:w="756"/>
        <w:gridCol w:w="4243"/>
      </w:tblGrid>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b/>
              </w:rPr>
            </w:pPr>
            <w:r>
              <w:rPr>
                <w:b/>
              </w:rPr>
              <w:t>VENTURE LENDING &amp; LEASING VIII, LLC</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By:</w:t>
            </w:r>
          </w:p>
        </w:tc>
        <w:tc>
          <w:tcPr>
            <w:tcW w:w="4243" w:type="dxa"/>
            <w:tcBorders/>
            <w:vAlign w:val="center"/>
          </w:tcPr>
          <w:p>
            <w:pPr>
              <w:pStyle w:val="TableContents"/>
              <w:bidi w:val="0"/>
              <w:spacing w:before="0" w:after="283"/>
              <w:jc w:val="left"/>
              <w:rPr/>
            </w:pPr>
            <w:r>
              <w:rPr/>
              <w:t>Westech Investment Advisors LLC</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Its:</w:t>
            </w:r>
          </w:p>
        </w:tc>
        <w:tc>
          <w:tcPr>
            <w:tcW w:w="4243"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By:</w:t>
            </w:r>
          </w:p>
        </w:tc>
        <w:tc>
          <w:tcPr>
            <w:tcW w:w="4243" w:type="dxa"/>
            <w:tcBorders>
              <w:bottom w:val="single" w:sz="12" w:space="0" w:color="000000"/>
            </w:tcBorders>
            <w:tcMar>
              <w:bottom w:w="28" w:type="dxa"/>
            </w:tcMar>
            <w:vAlign w:val="center"/>
          </w:tcPr>
          <w:p>
            <w:pPr>
              <w:pStyle w:val="TableContents"/>
              <w:bidi w:val="0"/>
              <w:spacing w:before="0" w:after="283"/>
              <w:jc w:val="left"/>
              <w:rPr/>
            </w:pPr>
            <w:r>
              <w:rPr/>
              <w:t>/s/ Maurice Werdegar</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Name: </w:t>
            </w:r>
          </w:p>
        </w:tc>
        <w:tc>
          <w:tcPr>
            <w:tcW w:w="4243" w:type="dxa"/>
            <w:tcBorders/>
            <w:vAlign w:val="center"/>
          </w:tcPr>
          <w:p>
            <w:pPr>
              <w:pStyle w:val="TableContents"/>
              <w:bidi w:val="0"/>
              <w:spacing w:before="0" w:after="283"/>
              <w:jc w:val="left"/>
              <w:rPr/>
            </w:pPr>
            <w:r>
              <w:rPr/>
              <w:t>Maurice Werdegar</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Title:</w:t>
            </w:r>
          </w:p>
        </w:tc>
        <w:tc>
          <w:tcPr>
            <w:tcW w:w="4243" w:type="dxa"/>
            <w:tcBorders/>
            <w:vAlign w:val="center"/>
          </w:tcPr>
          <w:p>
            <w:pPr>
              <w:pStyle w:val="TableContents"/>
              <w:bidi w:val="0"/>
              <w:spacing w:before="0" w:after="283"/>
              <w:jc w:val="left"/>
              <w:rPr/>
            </w:pPr>
            <w:r>
              <w:rPr/>
              <w:t>Chairman</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b/>
              </w:rPr>
            </w:pPr>
            <w:r>
              <w:rPr>
                <w:b/>
              </w:rPr>
              <w:t>VENTURE LENDING &amp; LEASING IX, LLC</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By:</w:t>
            </w:r>
          </w:p>
        </w:tc>
        <w:tc>
          <w:tcPr>
            <w:tcW w:w="4243" w:type="dxa"/>
            <w:tcBorders/>
            <w:vAlign w:val="center"/>
          </w:tcPr>
          <w:p>
            <w:pPr>
              <w:pStyle w:val="TableContents"/>
              <w:bidi w:val="0"/>
              <w:spacing w:before="0" w:after="283"/>
              <w:jc w:val="left"/>
              <w:rPr/>
            </w:pPr>
            <w:r>
              <w:rPr/>
              <w:t>Venture Lending &amp; Leasing IX GP, LLC</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Its:</w:t>
            </w:r>
          </w:p>
        </w:tc>
        <w:tc>
          <w:tcPr>
            <w:tcW w:w="4243"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By:</w:t>
            </w:r>
          </w:p>
        </w:tc>
        <w:tc>
          <w:tcPr>
            <w:tcW w:w="4243" w:type="dxa"/>
            <w:tcBorders/>
            <w:vAlign w:val="center"/>
          </w:tcPr>
          <w:p>
            <w:pPr>
              <w:pStyle w:val="TableContents"/>
              <w:bidi w:val="0"/>
              <w:spacing w:before="0" w:after="283"/>
              <w:jc w:val="left"/>
              <w:rPr/>
            </w:pPr>
            <w:r>
              <w:rPr/>
              <w:t>Westech Investment Advisors LLC</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Its:</w:t>
            </w:r>
          </w:p>
        </w:tc>
        <w:tc>
          <w:tcPr>
            <w:tcW w:w="4243"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By:</w:t>
            </w:r>
          </w:p>
        </w:tc>
        <w:tc>
          <w:tcPr>
            <w:tcW w:w="4243" w:type="dxa"/>
            <w:tcBorders>
              <w:bottom w:val="single" w:sz="12" w:space="0" w:color="000000"/>
            </w:tcBorders>
            <w:tcMar>
              <w:bottom w:w="28" w:type="dxa"/>
            </w:tcMar>
            <w:vAlign w:val="center"/>
          </w:tcPr>
          <w:p>
            <w:pPr>
              <w:pStyle w:val="TableContents"/>
              <w:bidi w:val="0"/>
              <w:spacing w:before="0" w:after="283"/>
              <w:jc w:val="left"/>
              <w:rPr/>
            </w:pPr>
            <w:r>
              <w:rPr/>
              <w:t>/s/ Maurice Werdegar</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Name:</w:t>
            </w:r>
          </w:p>
        </w:tc>
        <w:tc>
          <w:tcPr>
            <w:tcW w:w="4243" w:type="dxa"/>
            <w:tcBorders/>
            <w:vAlign w:val="center"/>
          </w:tcPr>
          <w:p>
            <w:pPr>
              <w:pStyle w:val="TableContents"/>
              <w:bidi w:val="0"/>
              <w:spacing w:before="0" w:after="283"/>
              <w:jc w:val="left"/>
              <w:rPr/>
            </w:pPr>
            <w:r>
              <w:rPr/>
              <w:t>Maurice Werdegar</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Title:</w:t>
            </w:r>
          </w:p>
        </w:tc>
        <w:tc>
          <w:tcPr>
            <w:tcW w:w="4243" w:type="dxa"/>
            <w:tcBorders/>
            <w:vAlign w:val="center"/>
          </w:tcPr>
          <w:p>
            <w:pPr>
              <w:pStyle w:val="TableContents"/>
              <w:bidi w:val="0"/>
              <w:spacing w:before="0" w:after="283"/>
              <w:jc w:val="left"/>
              <w:rPr/>
            </w:pPr>
            <w:r>
              <w:rPr/>
              <w:t>Chairman</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b/>
              </w:rPr>
            </w:pPr>
            <w:r>
              <w:rPr>
                <w:b/>
              </w:rPr>
              <w:t>WTI EQUITY OPPORTUNITY FUND I, L.P.</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a Delaware limited partnership</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By:</w:t>
            </w:r>
          </w:p>
        </w:tc>
        <w:tc>
          <w:tcPr>
            <w:tcW w:w="4243" w:type="dxa"/>
            <w:tcBorders>
              <w:bottom w:val="single" w:sz="12" w:space="0" w:color="000000"/>
            </w:tcBorders>
            <w:tcMar>
              <w:bottom w:w="28" w:type="dxa"/>
            </w:tcMar>
            <w:vAlign w:val="center"/>
          </w:tcPr>
          <w:p>
            <w:pPr>
              <w:pStyle w:val="TableContents"/>
              <w:bidi w:val="0"/>
              <w:spacing w:before="0" w:after="283"/>
              <w:jc w:val="left"/>
              <w:rPr/>
            </w:pPr>
            <w:r>
              <w:rPr/>
              <w:t>/s/ Maurice Werdegar</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Name: </w:t>
            </w:r>
          </w:p>
        </w:tc>
        <w:tc>
          <w:tcPr>
            <w:tcW w:w="4243" w:type="dxa"/>
            <w:tcBorders/>
            <w:vAlign w:val="center"/>
          </w:tcPr>
          <w:p>
            <w:pPr>
              <w:pStyle w:val="TableContents"/>
              <w:bidi w:val="0"/>
              <w:spacing w:before="0" w:after="283"/>
              <w:jc w:val="left"/>
              <w:rPr/>
            </w:pPr>
            <w:r>
              <w:rPr/>
              <w:t>Maurice Werdegar</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Title:</w:t>
            </w:r>
          </w:p>
        </w:tc>
        <w:tc>
          <w:tcPr>
            <w:tcW w:w="4243" w:type="dxa"/>
            <w:tcBorders/>
            <w:vAlign w:val="center"/>
          </w:tcPr>
          <w:p>
            <w:pPr>
              <w:pStyle w:val="TableContents"/>
              <w:bidi w:val="0"/>
              <w:spacing w:before="0" w:after="283"/>
              <w:jc w:val="left"/>
              <w:rPr/>
            </w:pPr>
            <w:r>
              <w:rPr/>
              <w:t>Chairman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710"/>
        <w:gridCol w:w="3380"/>
      </w:tblGrid>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b/>
              </w:rPr>
            </w:pPr>
            <w:r>
              <w:rPr>
                <w:b/>
              </w:rPr>
              <w:t>WTI FUND X, LLC</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380" w:type="dxa"/>
            <w:tcBorders/>
            <w:vAlign w:val="center"/>
          </w:tcPr>
          <w:p>
            <w:pPr>
              <w:pStyle w:val="TableContents"/>
              <w:bidi w:val="0"/>
              <w:spacing w:before="0" w:after="283"/>
              <w:jc w:val="left"/>
              <w:rPr/>
            </w:pPr>
            <w:r>
              <w:rPr/>
              <w:t>WTI Fund X GP, LLC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Its:</w:t>
            </w:r>
          </w:p>
        </w:tc>
        <w:tc>
          <w:tcPr>
            <w:tcW w:w="3380"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380" w:type="dxa"/>
            <w:tcBorders/>
            <w:vAlign w:val="center"/>
          </w:tcPr>
          <w:p>
            <w:pPr>
              <w:pStyle w:val="TableContents"/>
              <w:bidi w:val="0"/>
              <w:spacing w:before="0" w:after="283"/>
              <w:jc w:val="left"/>
              <w:rPr/>
            </w:pPr>
            <w:r>
              <w:rPr/>
              <w:t>Westech Investment Advisors LLC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Its: </w:t>
            </w:r>
          </w:p>
        </w:tc>
        <w:tc>
          <w:tcPr>
            <w:tcW w:w="3380"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380" w:type="dxa"/>
            <w:tcBorders>
              <w:bottom w:val="single" w:sz="12" w:space="0" w:color="000000"/>
            </w:tcBorders>
            <w:tcMar>
              <w:bottom w:w="28" w:type="dxa"/>
            </w:tcMar>
            <w:vAlign w:val="center"/>
          </w:tcPr>
          <w:p>
            <w:pPr>
              <w:pStyle w:val="TableContents"/>
              <w:bidi w:val="0"/>
              <w:spacing w:before="0" w:after="283"/>
              <w:jc w:val="left"/>
              <w:rPr/>
            </w:pPr>
            <w:r>
              <w:rPr/>
              <w:t>/s/ Maurice Werdegar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3380" w:type="dxa"/>
            <w:tcBorders/>
            <w:vAlign w:val="center"/>
          </w:tcPr>
          <w:p>
            <w:pPr>
              <w:pStyle w:val="TableContents"/>
              <w:bidi w:val="0"/>
              <w:spacing w:before="0" w:after="283"/>
              <w:jc w:val="left"/>
              <w:rPr/>
            </w:pPr>
            <w:r>
              <w:rPr/>
              <w:t>Maurice Werdegar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 </w:t>
            </w:r>
          </w:p>
        </w:tc>
        <w:tc>
          <w:tcPr>
            <w:tcW w:w="3380" w:type="dxa"/>
            <w:tcBorders/>
            <w:vAlign w:val="center"/>
          </w:tcPr>
          <w:p>
            <w:pPr>
              <w:pStyle w:val="TableContents"/>
              <w:bidi w:val="0"/>
              <w:spacing w:before="0" w:after="283"/>
              <w:jc w:val="left"/>
              <w:rPr/>
            </w:pPr>
            <w:r>
              <w:rPr/>
              <w:t> </w:t>
            </w:r>
            <w:r>
              <w:rPr/>
              <w:t>Chairman</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b/>
              </w:rPr>
            </w:pPr>
            <w:r>
              <w:rPr>
                <w:b/>
              </w:rPr>
              <w:t>WTI FUND XI, LLC</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380" w:type="dxa"/>
            <w:tcBorders/>
            <w:vAlign w:val="center"/>
          </w:tcPr>
          <w:p>
            <w:pPr>
              <w:pStyle w:val="TableContents"/>
              <w:bidi w:val="0"/>
              <w:spacing w:before="0" w:after="283"/>
              <w:jc w:val="left"/>
              <w:rPr/>
            </w:pPr>
            <w:r>
              <w:rPr/>
              <w:t>WTI Fund XI GP, LLC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Its:</w:t>
            </w:r>
          </w:p>
        </w:tc>
        <w:tc>
          <w:tcPr>
            <w:tcW w:w="3380"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380" w:type="dxa"/>
            <w:tcBorders/>
            <w:vAlign w:val="center"/>
          </w:tcPr>
          <w:p>
            <w:pPr>
              <w:pStyle w:val="TableContents"/>
              <w:bidi w:val="0"/>
              <w:spacing w:before="0" w:after="283"/>
              <w:jc w:val="left"/>
              <w:rPr/>
            </w:pPr>
            <w:r>
              <w:rPr/>
              <w:t>Westech Investment Advisors LLC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Its:</w:t>
            </w:r>
          </w:p>
        </w:tc>
        <w:tc>
          <w:tcPr>
            <w:tcW w:w="3380"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380" w:type="dxa"/>
            <w:tcBorders>
              <w:bottom w:val="single" w:sz="12" w:space="0" w:color="000000"/>
            </w:tcBorders>
            <w:tcMar>
              <w:bottom w:w="28" w:type="dxa"/>
            </w:tcMar>
            <w:vAlign w:val="center"/>
          </w:tcPr>
          <w:p>
            <w:pPr>
              <w:pStyle w:val="TableContents"/>
              <w:bidi w:val="0"/>
              <w:spacing w:before="0" w:after="283"/>
              <w:jc w:val="left"/>
              <w:rPr/>
            </w:pPr>
            <w:r>
              <w:rPr/>
              <w:t>/s/ Maurice Werdegar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3380" w:type="dxa"/>
            <w:tcBorders/>
            <w:vAlign w:val="center"/>
          </w:tcPr>
          <w:p>
            <w:pPr>
              <w:pStyle w:val="TableContents"/>
              <w:bidi w:val="0"/>
              <w:spacing w:before="0" w:after="283"/>
              <w:jc w:val="left"/>
              <w:rPr/>
            </w:pPr>
            <w:r>
              <w:rPr/>
              <w:t>Maurice Werdegar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380" w:type="dxa"/>
            <w:tcBorders/>
            <w:vAlign w:val="center"/>
          </w:tcPr>
          <w:p>
            <w:pPr>
              <w:pStyle w:val="TableContents"/>
              <w:bidi w:val="0"/>
              <w:spacing w:before="0" w:after="283"/>
              <w:jc w:val="left"/>
              <w:rPr/>
            </w:pPr>
            <w:r>
              <w:rPr/>
              <w:t>Chairman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211"/>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710"/>
        <w:gridCol w:w="5480"/>
      </w:tblGrid>
      <w:tr>
        <w:trPr/>
        <w:tc>
          <w:tcPr>
            <w:tcW w:w="75" w:type="dxa"/>
            <w:tcBorders/>
            <w:vAlign w:val="center"/>
          </w:tcPr>
          <w:p>
            <w:pPr>
              <w:pStyle w:val="TableContents"/>
              <w:bidi w:val="0"/>
              <w:spacing w:before="0" w:after="283"/>
              <w:jc w:val="left"/>
              <w:rPr/>
            </w:pPr>
            <w:r>
              <w:rPr/>
              <w:t> </w:t>
            </w:r>
          </w:p>
        </w:tc>
        <w:tc>
          <w:tcPr>
            <w:tcW w:w="6190"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61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90" w:type="dxa"/>
            <w:gridSpan w:val="2"/>
            <w:tcBorders/>
            <w:vAlign w:val="center"/>
          </w:tcPr>
          <w:p>
            <w:pPr>
              <w:pStyle w:val="TableContents"/>
              <w:bidi w:val="0"/>
              <w:spacing w:before="0" w:after="283"/>
              <w:jc w:val="left"/>
              <w:rPr>
                <w:b/>
              </w:rPr>
            </w:pPr>
            <w:r>
              <w:rPr>
                <w:b/>
              </w:rPr>
              <w:t xml:space="preserve">THE SCHIEHALLION FUND LIMITED, </w:t>
            </w:r>
            <w:r>
              <w:rPr>
                <w:b w:val="false"/>
                <w:i w:val="false"/>
                <w:caps w:val="false"/>
                <w:smallCaps w:val="false"/>
              </w:rPr>
              <w:t>acting</w:t>
            </w:r>
          </w:p>
        </w:tc>
      </w:tr>
      <w:tr>
        <w:trPr/>
        <w:tc>
          <w:tcPr>
            <w:tcW w:w="75" w:type="dxa"/>
            <w:tcBorders/>
            <w:vAlign w:val="center"/>
          </w:tcPr>
          <w:p>
            <w:pPr>
              <w:pStyle w:val="TableContents"/>
              <w:bidi w:val="0"/>
              <w:spacing w:before="0" w:after="283"/>
              <w:jc w:val="left"/>
              <w:rPr/>
            </w:pPr>
            <w:r>
              <w:rPr/>
              <w:t> </w:t>
            </w:r>
          </w:p>
        </w:tc>
        <w:tc>
          <w:tcPr>
            <w:tcW w:w="6190" w:type="dxa"/>
            <w:gridSpan w:val="2"/>
            <w:tcBorders/>
            <w:vAlign w:val="center"/>
          </w:tcPr>
          <w:p>
            <w:pPr>
              <w:pStyle w:val="TableContents"/>
              <w:bidi w:val="0"/>
              <w:spacing w:before="0" w:after="283"/>
              <w:jc w:val="left"/>
              <w:rPr/>
            </w:pPr>
            <w:r>
              <w:rPr/>
              <w:t>through its agent, Baillie Gifford Overseas Limited</w:t>
            </w:r>
          </w:p>
        </w:tc>
      </w:tr>
      <w:tr>
        <w:trPr/>
        <w:tc>
          <w:tcPr>
            <w:tcW w:w="75" w:type="dxa"/>
            <w:tcBorders/>
            <w:vAlign w:val="center"/>
          </w:tcPr>
          <w:p>
            <w:pPr>
              <w:pStyle w:val="TableContents"/>
              <w:bidi w:val="0"/>
              <w:spacing w:before="0" w:after="283"/>
              <w:jc w:val="left"/>
              <w:rPr/>
            </w:pPr>
            <w:r>
              <w:rPr/>
              <w:t> </w:t>
            </w:r>
          </w:p>
        </w:tc>
        <w:tc>
          <w:tcPr>
            <w:tcW w:w="61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5480" w:type="dxa"/>
            <w:tcBorders>
              <w:bottom w:val="single" w:sz="12" w:space="0" w:color="000000"/>
            </w:tcBorders>
            <w:tcMar>
              <w:bottom w:w="28" w:type="dxa"/>
            </w:tcMar>
            <w:vAlign w:val="center"/>
          </w:tcPr>
          <w:p>
            <w:pPr>
              <w:pStyle w:val="TableContents"/>
              <w:bidi w:val="0"/>
              <w:spacing w:before="0" w:after="283"/>
              <w:jc w:val="left"/>
              <w:rPr/>
            </w:pPr>
            <w:r>
              <w:rPr/>
              <w:t>/s/ Peter Singlehurst</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5480" w:type="dxa"/>
            <w:tcBorders/>
            <w:vAlign w:val="center"/>
          </w:tcPr>
          <w:p>
            <w:pPr>
              <w:pStyle w:val="TableContents"/>
              <w:bidi w:val="0"/>
              <w:spacing w:before="0" w:after="283"/>
              <w:jc w:val="left"/>
              <w:rPr/>
            </w:pPr>
            <w:r>
              <w:rPr/>
              <w:t>Peter Singlehurst</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5480" w:type="dxa"/>
            <w:tcBorders/>
            <w:vAlign w:val="center"/>
          </w:tcPr>
          <w:p>
            <w:pPr>
              <w:pStyle w:val="TableContents"/>
              <w:bidi w:val="0"/>
              <w:spacing w:before="0" w:after="283"/>
              <w:jc w:val="left"/>
              <w:rPr/>
            </w:pPr>
            <w:r>
              <w:rPr/>
              <w:t>Authorised Signatory of Baillie Gifford Overseas Limited</w:t>
            </w:r>
          </w:p>
        </w:tc>
      </w:tr>
    </w:tbl>
    <w:p>
      <w:pPr>
        <w:pStyle w:val="TextBody"/>
        <w:bidi w:val="0"/>
        <w:spacing w:before="0" w:after="0"/>
        <w:ind w:left="0" w:right="0" w:firstLine="211"/>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484" w:type="dxa"/>
        <w:jc w:val="left"/>
        <w:tblInd w:w="0" w:type="dxa"/>
        <w:tblLayout w:type="fixed"/>
        <w:tblCellMar>
          <w:top w:w="0" w:type="dxa"/>
          <w:left w:w="0" w:type="dxa"/>
          <w:bottom w:w="0" w:type="dxa"/>
          <w:right w:w="0" w:type="dxa"/>
        </w:tblCellMar>
      </w:tblPr>
      <w:tblGrid>
        <w:gridCol w:w="75"/>
        <w:gridCol w:w="869"/>
        <w:gridCol w:w="2540"/>
      </w:tblGrid>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b/>
              </w:rPr>
            </w:pPr>
            <w:r>
              <w:rPr>
                <w:b/>
              </w:rPr>
              <w:t>BOOM CAPITAL FUND I, L.P.</w:t>
            </w:r>
          </w:p>
        </w:tc>
      </w:tr>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By:</w:t>
            </w:r>
          </w:p>
        </w:tc>
        <w:tc>
          <w:tcPr>
            <w:tcW w:w="2540" w:type="dxa"/>
            <w:tcBorders>
              <w:bottom w:val="single" w:sz="12" w:space="0" w:color="000000"/>
            </w:tcBorders>
            <w:tcMar>
              <w:bottom w:w="28" w:type="dxa"/>
            </w:tcMar>
            <w:vAlign w:val="center"/>
          </w:tcPr>
          <w:p>
            <w:pPr>
              <w:pStyle w:val="TableContents"/>
              <w:bidi w:val="0"/>
              <w:spacing w:before="0" w:after="283"/>
              <w:jc w:val="left"/>
              <w:rPr/>
            </w:pPr>
            <w:r>
              <w:rPr/>
              <w:t>/s/ Celestine Schnugg</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Name: </w:t>
            </w:r>
          </w:p>
        </w:tc>
        <w:tc>
          <w:tcPr>
            <w:tcW w:w="2540" w:type="dxa"/>
            <w:tcBorders/>
            <w:vAlign w:val="center"/>
          </w:tcPr>
          <w:p>
            <w:pPr>
              <w:pStyle w:val="TableContents"/>
              <w:bidi w:val="0"/>
              <w:spacing w:before="0" w:after="283"/>
              <w:jc w:val="left"/>
              <w:rPr/>
            </w:pPr>
            <w:r>
              <w:rPr/>
              <w:t>Celestine Schnugg</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Title:</w:t>
            </w:r>
          </w:p>
        </w:tc>
        <w:tc>
          <w:tcPr>
            <w:tcW w:w="2540" w:type="dxa"/>
            <w:tcBorders/>
            <w:vAlign w:val="center"/>
          </w:tcPr>
          <w:p>
            <w:pPr>
              <w:pStyle w:val="TableContents"/>
              <w:bidi w:val="0"/>
              <w:spacing w:before="0" w:after="283"/>
              <w:jc w:val="left"/>
              <w:rPr/>
            </w:pPr>
            <w:r>
              <w:rPr/>
              <w:t>General Partner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933"/>
        <w:gridCol w:w="2431"/>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b/>
              </w:rPr>
            </w:pPr>
            <w:r>
              <w:rPr>
                <w:b/>
              </w:rPr>
              <w:t xml:space="preserve">MERLIN HOLDERS: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b/>
              </w:rPr>
            </w:pPr>
            <w:r>
              <w:rPr>
                <w:b/>
              </w:rPr>
              <w:t>NEWTYN TE PARTNERS, LP</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By:</w:t>
            </w:r>
          </w:p>
        </w:tc>
        <w:tc>
          <w:tcPr>
            <w:tcW w:w="2431" w:type="dxa"/>
            <w:tcBorders>
              <w:bottom w:val="single" w:sz="12" w:space="0" w:color="000000"/>
            </w:tcBorders>
            <w:tcMar>
              <w:bottom w:w="28" w:type="dxa"/>
            </w:tcMar>
            <w:vAlign w:val="center"/>
          </w:tcPr>
          <w:p>
            <w:pPr>
              <w:pStyle w:val="TableContents"/>
              <w:bidi w:val="0"/>
              <w:spacing w:before="0" w:after="283"/>
              <w:jc w:val="left"/>
              <w:rPr/>
            </w:pPr>
            <w:r>
              <w:rPr/>
              <w:t>/s/ Noah Levy</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Name: </w:t>
            </w:r>
          </w:p>
        </w:tc>
        <w:tc>
          <w:tcPr>
            <w:tcW w:w="2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Noah Levy</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Title:</w:t>
            </w:r>
          </w:p>
        </w:tc>
        <w:tc>
          <w:tcPr>
            <w:tcW w:w="2431" w:type="dxa"/>
            <w:tcBorders/>
            <w:vAlign w:val="center"/>
          </w:tcPr>
          <w:p>
            <w:pPr>
              <w:pStyle w:val="TableContents"/>
              <w:bidi w:val="0"/>
              <w:spacing w:before="0" w:after="283"/>
              <w:jc w:val="left"/>
              <w:rPr/>
            </w:pPr>
            <w:r>
              <w:rPr/>
              <w:t>Managing Member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049" w:type="dxa"/>
        <w:jc w:val="left"/>
        <w:tblInd w:w="0" w:type="dxa"/>
        <w:tblLayout w:type="fixed"/>
        <w:tblCellMar>
          <w:top w:w="0" w:type="dxa"/>
          <w:left w:w="0" w:type="dxa"/>
          <w:bottom w:w="0" w:type="dxa"/>
          <w:right w:w="0" w:type="dxa"/>
        </w:tblCellMar>
      </w:tblPr>
      <w:tblGrid>
        <w:gridCol w:w="75"/>
        <w:gridCol w:w="892"/>
        <w:gridCol w:w="2082"/>
      </w:tblGrid>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b/>
              </w:rPr>
            </w:pPr>
            <w:r>
              <w:rPr>
                <w:b/>
              </w:rPr>
              <w:t xml:space="preserve">MERLIN HOLDERS: </w:t>
            </w:r>
          </w:p>
        </w:tc>
      </w:tr>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b/>
              </w:rPr>
            </w:pPr>
            <w:r>
              <w:rPr>
                <w:b/>
              </w:rPr>
              <w:t>NEWTYN PARTNERS, LP</w:t>
            </w:r>
          </w:p>
        </w:tc>
      </w:tr>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pPr>
            <w:r>
              <w:rPr/>
              <w:t>By:</w:t>
            </w:r>
          </w:p>
        </w:tc>
        <w:tc>
          <w:tcPr>
            <w:tcW w:w="2082" w:type="dxa"/>
            <w:tcBorders>
              <w:bottom w:val="single" w:sz="12" w:space="0" w:color="000000"/>
            </w:tcBorders>
            <w:tcMar>
              <w:bottom w:w="28" w:type="dxa"/>
            </w:tcMar>
            <w:vAlign w:val="center"/>
          </w:tcPr>
          <w:p>
            <w:pPr>
              <w:pStyle w:val="TableContents"/>
              <w:bidi w:val="0"/>
              <w:spacing w:before="0" w:after="283"/>
              <w:jc w:val="left"/>
              <w:rPr/>
            </w:pPr>
            <w:r>
              <w:rPr/>
              <w:t>/s/ Noah Levy</w:t>
            </w:r>
          </w:p>
        </w:tc>
      </w:tr>
      <w:tr>
        <w:trPr/>
        <w:tc>
          <w:tcPr>
            <w:tcW w:w="7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pPr>
            <w:r>
              <w:rPr/>
              <w:t>Name: </w:t>
            </w:r>
          </w:p>
        </w:tc>
        <w:tc>
          <w:tcPr>
            <w:tcW w:w="2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Noah Levy</w:t>
            </w:r>
          </w:p>
        </w:tc>
      </w:tr>
      <w:tr>
        <w:trPr/>
        <w:tc>
          <w:tcPr>
            <w:tcW w:w="7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pPr>
            <w:r>
              <w:rPr/>
              <w:t>Title: </w:t>
            </w:r>
          </w:p>
        </w:tc>
        <w:tc>
          <w:tcPr>
            <w:tcW w:w="2082" w:type="dxa"/>
            <w:tcBorders/>
            <w:vAlign w:val="center"/>
          </w:tcPr>
          <w:p>
            <w:pPr>
              <w:pStyle w:val="TableContents"/>
              <w:bidi w:val="0"/>
              <w:spacing w:before="0" w:after="283"/>
              <w:jc w:val="left"/>
              <w:rPr/>
            </w:pPr>
            <w:r>
              <w:rPr/>
              <w:t> </w:t>
            </w:r>
            <w:r>
              <w:rPr>
                <w:rFonts w:ascii="Times New Roman;Times;Serif" w:hAnsi="Times New Roman;Times;Serif"/>
                <w:sz w:val="20"/>
              </w:rPr>
              <w:t>Managing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75"/>
        <w:gridCol w:w="696"/>
        <w:gridCol w:w="2113"/>
      </w:tblGrid>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b w:val="false"/>
                <w:i w:val="false"/>
                <w:caps w:val="false"/>
                <w:smallCaps w:val="false"/>
                <w:sz w:val="20"/>
              </w:rPr>
            </w:pPr>
            <w:r>
              <w:rPr>
                <w:b/>
                <w:i w:val="false"/>
                <w:caps w:val="false"/>
                <w:smallCaps w:val="false"/>
                <w:sz w:val="20"/>
              </w:rPr>
              <w:t>PIPE HOLDERS</w:t>
            </w:r>
            <w:r>
              <w:rPr>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b/>
                <w:sz w:val="20"/>
              </w:rPr>
            </w:pPr>
            <w:r>
              <w:rPr>
                <w:b/>
                <w:sz w:val="20"/>
              </w:rPr>
              <w:t>GHISALLO MASTER FUND LP</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sz w:val="20"/>
              </w:rPr>
            </w:pPr>
            <w:r>
              <w:rPr>
                <w:sz w:val="20"/>
              </w:rPr>
              <w:t>By:</w:t>
            </w:r>
          </w:p>
        </w:tc>
        <w:tc>
          <w:tcPr>
            <w:tcW w:w="2113"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Douglas Ambrose</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sz w:val="20"/>
              </w:rPr>
            </w:pPr>
            <w:r>
              <w:rPr>
                <w:sz w:val="20"/>
              </w:rPr>
              <w:t>Name: </w:t>
            </w:r>
          </w:p>
        </w:tc>
        <w:tc>
          <w:tcPr>
            <w:tcW w:w="2113" w:type="dxa"/>
            <w:tcBorders/>
            <w:vAlign w:val="center"/>
          </w:tcPr>
          <w:p>
            <w:pPr>
              <w:pStyle w:val="TableContents"/>
              <w:bidi w:val="0"/>
              <w:spacing w:before="0" w:after="283"/>
              <w:jc w:val="left"/>
              <w:rPr>
                <w:sz w:val="20"/>
              </w:rPr>
            </w:pPr>
            <w:r>
              <w:rPr>
                <w:sz w:val="20"/>
              </w:rPr>
              <w:t>Douglas Ambrose</w:t>
            </w:r>
          </w:p>
        </w:tc>
      </w:tr>
      <w:tr>
        <w:trPr/>
        <w:tc>
          <w:tcPr>
            <w:tcW w:w="7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sz w:val="20"/>
              </w:rPr>
            </w:pPr>
            <w:r>
              <w:rPr>
                <w:sz w:val="20"/>
              </w:rPr>
              <w:t>Title:</w:t>
            </w:r>
          </w:p>
        </w:tc>
        <w:tc>
          <w:tcPr>
            <w:tcW w:w="2113"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710"/>
        <w:gridCol w:w="3590"/>
      </w:tblGrid>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b/>
              </w:rPr>
            </w:pPr>
            <w:r>
              <w:rPr>
                <w:b/>
              </w:rPr>
              <w:t>PIPE HOLDERS:</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b/>
              </w:rPr>
            </w:pPr>
            <w:r>
              <w:rPr>
                <w:b/>
              </w:rPr>
              <w:t>ALYESKA MASTER FUND, L.P.</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590" w:type="dxa"/>
            <w:tcBorders/>
            <w:vAlign w:val="center"/>
          </w:tcPr>
          <w:p>
            <w:pPr>
              <w:pStyle w:val="TableContents"/>
              <w:bidi w:val="0"/>
              <w:spacing w:before="0" w:after="283"/>
              <w:jc w:val="left"/>
              <w:rPr/>
            </w:pPr>
            <w:r>
              <w:rPr/>
              <w:t>Alyeska Investment Group, L.P.</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Its:</w:t>
            </w:r>
          </w:p>
        </w:tc>
        <w:tc>
          <w:tcPr>
            <w:tcW w:w="3590" w:type="dxa"/>
            <w:tcBorders/>
            <w:vAlign w:val="center"/>
          </w:tcPr>
          <w:p>
            <w:pPr>
              <w:pStyle w:val="TableContents"/>
              <w:bidi w:val="0"/>
              <w:spacing w:before="0" w:after="283"/>
              <w:jc w:val="left"/>
              <w:rPr/>
            </w:pPr>
            <w:r>
              <w:rPr/>
              <w:t>Investment Manager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590" w:type="dxa"/>
            <w:tcBorders>
              <w:bottom w:val="single" w:sz="12" w:space="0" w:color="000000"/>
            </w:tcBorders>
            <w:tcMar>
              <w:bottom w:w="28" w:type="dxa"/>
            </w:tcMar>
            <w:vAlign w:val="center"/>
          </w:tcPr>
          <w:p>
            <w:pPr>
              <w:pStyle w:val="TableContents"/>
              <w:bidi w:val="0"/>
              <w:spacing w:before="0" w:after="283"/>
              <w:jc w:val="left"/>
              <w:rPr/>
            </w:pPr>
            <w:r>
              <w:rPr/>
              <w:t>/s/ Jason Bragg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3590" w:type="dxa"/>
            <w:tcBorders/>
            <w:vAlign w:val="center"/>
          </w:tcPr>
          <w:p>
            <w:pPr>
              <w:pStyle w:val="TableContents"/>
              <w:bidi w:val="0"/>
              <w:spacing w:before="0" w:after="283"/>
              <w:jc w:val="left"/>
              <w:rPr/>
            </w:pPr>
            <w:r>
              <w:rPr/>
              <w:t>Jason Bragg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590" w:type="dxa"/>
            <w:tcBorders/>
            <w:vAlign w:val="center"/>
          </w:tcPr>
          <w:p>
            <w:pPr>
              <w:pStyle w:val="TableContents"/>
              <w:bidi w:val="0"/>
              <w:spacing w:before="0" w:after="283"/>
              <w:jc w:val="left"/>
              <w:rPr/>
            </w:pPr>
            <w:r>
              <w:rPr/>
              <w:t>CFO, Alyeska Investment Group, LP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590"/>
        <w:gridCol w:w="3650"/>
      </w:tblGrid>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HOLDERS:</w:t>
            </w:r>
          </w:p>
        </w:tc>
      </w:tr>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right"/>
              <w:rPr/>
            </w:pPr>
            <w:r>
              <w:rPr/>
              <w:t> </w:t>
            </w:r>
          </w:p>
        </w:tc>
        <w:tc>
          <w:tcPr>
            <w:tcW w:w="424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CVI INVESTMENTS, INC.</w:t>
            </w:r>
          </w:p>
        </w:tc>
      </w:tr>
      <w:tr>
        <w:trPr/>
        <w:tc>
          <w:tcPr>
            <w:tcW w:w="75" w:type="dxa"/>
            <w:tcBorders/>
            <w:vAlign w:val="center"/>
          </w:tcPr>
          <w:p>
            <w:pPr>
              <w:pStyle w:val="TableContents"/>
              <w:bidi w:val="0"/>
              <w:spacing w:before="0" w:after="283"/>
              <w:jc w:val="right"/>
              <w:rPr/>
            </w:pPr>
            <w:r>
              <w:rPr/>
              <w:t> </w:t>
            </w:r>
          </w:p>
        </w:tc>
        <w:tc>
          <w:tcPr>
            <w:tcW w:w="42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Heights Capital Management,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Agent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Martin Kobinger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Kobinger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Heights Capital Management,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9934" w:type="dxa"/>
        <w:jc w:val="left"/>
        <w:tblInd w:w="0" w:type="dxa"/>
        <w:tblLayout w:type="fixed"/>
        <w:tblCellMar>
          <w:top w:w="0" w:type="dxa"/>
          <w:left w:w="0" w:type="dxa"/>
          <w:bottom w:w="0" w:type="dxa"/>
          <w:right w:w="0" w:type="dxa"/>
        </w:tblCellMar>
      </w:tblPr>
      <w:tblGrid>
        <w:gridCol w:w="75"/>
        <w:gridCol w:w="3013"/>
        <w:gridCol w:w="6771"/>
        <w:gridCol w:w="75"/>
      </w:tblGrid>
      <w:tr>
        <w:trPr/>
        <w:tc>
          <w:tcPr>
            <w:tcW w:w="75" w:type="dxa"/>
            <w:tcBorders/>
            <w:vAlign w:val="center"/>
          </w:tcPr>
          <w:p>
            <w:pPr>
              <w:pStyle w:val="TableContents"/>
              <w:bidi w:val="0"/>
              <w:spacing w:before="0" w:after="283"/>
              <w:jc w:val="left"/>
              <w:rPr/>
            </w:pPr>
            <w:r>
              <w:rPr/>
              <w:t> </w:t>
            </w:r>
          </w:p>
        </w:tc>
        <w:tc>
          <w:tcPr>
            <w:tcW w:w="9784" w:type="dxa"/>
            <w:gridSpan w:val="2"/>
            <w:tcBorders/>
            <w:vAlign w:val="center"/>
          </w:tcPr>
          <w:p>
            <w:pPr>
              <w:pStyle w:val="TableContents"/>
              <w:bidi w:val="0"/>
              <w:spacing w:before="0" w:after="283"/>
              <w:jc w:val="left"/>
              <w:rPr>
                <w:b/>
              </w:rPr>
            </w:pPr>
            <w:r>
              <w:rPr>
                <w:b/>
              </w:rPr>
              <w:t>MERLIN HOLDERS: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84" w:type="dxa"/>
            <w:gridSpan w:val="2"/>
            <w:tcBorders/>
            <w:vAlign w:val="center"/>
          </w:tcPr>
          <w:p>
            <w:pPr>
              <w:pStyle w:val="TableContents"/>
              <w:bidi w:val="0"/>
              <w:spacing w:before="0" w:after="283"/>
              <w:jc w:val="left"/>
              <w:rPr>
                <w:b/>
              </w:rPr>
            </w:pPr>
            <w:r>
              <w:rPr>
                <w:b/>
              </w:rPr>
              <w:t>ALTO OPPORTUNITY MASTER FUND, SPC – SEGREGATED MASTER PORTFOLIO B</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13" w:type="dxa"/>
            <w:tcBorders/>
            <w:vAlign w:val="center"/>
          </w:tcPr>
          <w:p>
            <w:pPr>
              <w:pStyle w:val="TableContents"/>
              <w:bidi w:val="0"/>
              <w:spacing w:before="0" w:after="283"/>
              <w:jc w:val="left"/>
              <w:rPr/>
            </w:pPr>
            <w:r>
              <w:rPr/>
              <w:t>By:</w:t>
            </w:r>
          </w:p>
        </w:tc>
        <w:tc>
          <w:tcPr>
            <w:tcW w:w="6771" w:type="dxa"/>
            <w:tcBorders>
              <w:bottom w:val="single" w:sz="12" w:space="0" w:color="000000"/>
            </w:tcBorders>
            <w:tcMar>
              <w:bottom w:w="28" w:type="dxa"/>
            </w:tcMar>
            <w:vAlign w:val="center"/>
          </w:tcPr>
          <w:p>
            <w:pPr>
              <w:pStyle w:val="TableContents"/>
              <w:bidi w:val="0"/>
              <w:spacing w:before="0" w:after="283"/>
              <w:jc w:val="left"/>
              <w:rPr/>
            </w:pPr>
            <w:r>
              <w:rPr/>
              <w:t>/s/ Waqas Khatri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13" w:type="dxa"/>
            <w:tcBorders/>
            <w:vAlign w:val="center"/>
          </w:tcPr>
          <w:p>
            <w:pPr>
              <w:pStyle w:val="TableContents"/>
              <w:bidi w:val="0"/>
              <w:spacing w:before="0" w:after="283"/>
              <w:jc w:val="left"/>
              <w:rPr/>
            </w:pPr>
            <w:r>
              <w:rPr/>
              <w:t>Name: </w:t>
            </w:r>
          </w:p>
        </w:tc>
        <w:tc>
          <w:tcPr>
            <w:tcW w:w="67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Waqas Khatri</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013" w:type="dxa"/>
            <w:tcBorders/>
            <w:vAlign w:val="center"/>
          </w:tcPr>
          <w:p>
            <w:pPr>
              <w:pStyle w:val="TableContents"/>
              <w:bidi w:val="0"/>
              <w:spacing w:before="0" w:after="283"/>
              <w:jc w:val="left"/>
              <w:rPr/>
            </w:pPr>
            <w:r>
              <w:rPr/>
              <w:t>Title:</w:t>
            </w:r>
          </w:p>
        </w:tc>
        <w:tc>
          <w:tcPr>
            <w:tcW w:w="67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159" w:type="dxa"/>
        <w:jc w:val="left"/>
        <w:tblInd w:w="0" w:type="dxa"/>
        <w:tblLayout w:type="fixed"/>
        <w:tblCellMar>
          <w:top w:w="0" w:type="dxa"/>
          <w:left w:w="0" w:type="dxa"/>
          <w:bottom w:w="0" w:type="dxa"/>
          <w:right w:w="0" w:type="dxa"/>
        </w:tblCellMar>
      </w:tblPr>
      <w:tblGrid>
        <w:gridCol w:w="75"/>
        <w:gridCol w:w="849"/>
        <w:gridCol w:w="3235"/>
      </w:tblGrid>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b/>
              </w:rPr>
            </w:pPr>
            <w:r>
              <w:rPr>
                <w:b/>
              </w:rPr>
              <w:t>MERLIN HOLDERS:</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b/>
              </w:rPr>
            </w:pPr>
            <w:r>
              <w:rPr>
                <w:b/>
              </w:rPr>
              <w:t>SHRUG I, a series of Shrug Capital, LP</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By:</w:t>
            </w:r>
          </w:p>
        </w:tc>
        <w:tc>
          <w:tcPr>
            <w:tcW w:w="3235" w:type="dxa"/>
            <w:tcBorders/>
            <w:vAlign w:val="center"/>
          </w:tcPr>
          <w:p>
            <w:pPr>
              <w:pStyle w:val="TableContents"/>
              <w:bidi w:val="0"/>
              <w:spacing w:before="0" w:after="283"/>
              <w:jc w:val="left"/>
              <w:rPr/>
            </w:pPr>
            <w:r>
              <w:rPr/>
              <w:t>Fund GP, LLC</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Its:</w:t>
            </w:r>
          </w:p>
        </w:tc>
        <w:tc>
          <w:tcPr>
            <w:tcW w:w="3235"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By:</w:t>
            </w:r>
          </w:p>
        </w:tc>
        <w:tc>
          <w:tcPr>
            <w:tcW w:w="3235" w:type="dxa"/>
            <w:tcBorders/>
            <w:vAlign w:val="center"/>
          </w:tcPr>
          <w:p>
            <w:pPr>
              <w:pStyle w:val="TableContents"/>
              <w:bidi w:val="0"/>
              <w:spacing w:before="0" w:after="283"/>
              <w:jc w:val="left"/>
              <w:rPr/>
            </w:pPr>
            <w:r>
              <w:rPr/>
              <w:t>Belltower Fund Group, Ltd.</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xml:space="preserve">Its: </w:t>
            </w:r>
          </w:p>
        </w:tc>
        <w:tc>
          <w:tcPr>
            <w:tcW w:w="3235" w:type="dxa"/>
            <w:tcBorders/>
            <w:vAlign w:val="center"/>
          </w:tcPr>
          <w:p>
            <w:pPr>
              <w:pStyle w:val="TableContents"/>
              <w:bidi w:val="0"/>
              <w:spacing w:before="0" w:after="283"/>
              <w:jc w:val="left"/>
              <w:rPr/>
            </w:pPr>
            <w:r>
              <w:rPr/>
              <w:t>Agent</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By:</w:t>
            </w:r>
          </w:p>
        </w:tc>
        <w:tc>
          <w:tcPr>
            <w:tcW w:w="3235" w:type="dxa"/>
            <w:tcBorders>
              <w:bottom w:val="single" w:sz="12" w:space="0" w:color="000000"/>
            </w:tcBorders>
            <w:tcMar>
              <w:bottom w:w="28" w:type="dxa"/>
            </w:tcMar>
            <w:vAlign w:val="center"/>
          </w:tcPr>
          <w:p>
            <w:pPr>
              <w:pStyle w:val="TableContents"/>
              <w:bidi w:val="0"/>
              <w:spacing w:before="0" w:after="283"/>
              <w:jc w:val="left"/>
              <w:rPr/>
            </w:pPr>
            <w:r>
              <w:rPr/>
              <w:t>/s/ Paul Larkin</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Name: </w:t>
            </w:r>
          </w:p>
        </w:tc>
        <w:tc>
          <w:tcPr>
            <w:tcW w:w="3235" w:type="dxa"/>
            <w:tcBorders/>
            <w:vAlign w:val="center"/>
          </w:tcPr>
          <w:p>
            <w:pPr>
              <w:pStyle w:val="TableContents"/>
              <w:bidi w:val="0"/>
              <w:spacing w:before="0" w:after="283"/>
              <w:jc w:val="left"/>
              <w:rPr/>
            </w:pPr>
            <w:r>
              <w:rPr/>
              <w:t>Paul Larkin</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Title:</w:t>
            </w:r>
          </w:p>
        </w:tc>
        <w:tc>
          <w:tcPr>
            <w:tcW w:w="3235" w:type="dxa"/>
            <w:tcBorders/>
            <w:vAlign w:val="center"/>
          </w:tcPr>
          <w:p>
            <w:pPr>
              <w:pStyle w:val="TableContents"/>
              <w:bidi w:val="0"/>
              <w:spacing w:before="0" w:after="283"/>
              <w:jc w:val="left"/>
              <w:rPr/>
            </w:pPr>
            <w:r>
              <w:rPr/>
              <w:t>Authorized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414" w:type="dxa"/>
        <w:jc w:val="left"/>
        <w:tblInd w:w="0" w:type="dxa"/>
        <w:tblLayout w:type="fixed"/>
        <w:tblCellMar>
          <w:top w:w="0" w:type="dxa"/>
          <w:left w:w="0" w:type="dxa"/>
          <w:bottom w:w="0" w:type="dxa"/>
          <w:right w:w="0" w:type="dxa"/>
        </w:tblCellMar>
      </w:tblPr>
      <w:tblGrid>
        <w:gridCol w:w="75"/>
        <w:gridCol w:w="1149"/>
        <w:gridCol w:w="3190"/>
      </w:tblGrid>
      <w:tr>
        <w:trPr/>
        <w:tc>
          <w:tcPr>
            <w:tcW w:w="75" w:type="dxa"/>
            <w:tcBorders/>
            <w:vAlign w:val="center"/>
          </w:tcPr>
          <w:p>
            <w:pPr>
              <w:pStyle w:val="TableContents"/>
              <w:bidi w:val="0"/>
              <w:spacing w:before="0" w:after="283"/>
              <w:jc w:val="left"/>
              <w:rPr/>
            </w:pPr>
            <w:r>
              <w:rPr/>
              <w:t> </w:t>
            </w:r>
          </w:p>
        </w:tc>
        <w:tc>
          <w:tcPr>
            <w:tcW w:w="4339" w:type="dxa"/>
            <w:gridSpan w:val="2"/>
            <w:tcBorders/>
            <w:vAlign w:val="center"/>
          </w:tcPr>
          <w:p>
            <w:pPr>
              <w:pStyle w:val="TableContents"/>
              <w:bidi w:val="0"/>
              <w:spacing w:before="0" w:after="283"/>
              <w:jc w:val="left"/>
              <w:rPr>
                <w:b/>
              </w:rPr>
            </w:pPr>
            <w:r>
              <w:rPr>
                <w:b/>
              </w:rPr>
              <w:t>PIPE HOLDERS:</w:t>
            </w:r>
          </w:p>
        </w:tc>
      </w:tr>
      <w:tr>
        <w:trPr/>
        <w:tc>
          <w:tcPr>
            <w:tcW w:w="75" w:type="dxa"/>
            <w:tcBorders/>
            <w:vAlign w:val="center"/>
          </w:tcPr>
          <w:p>
            <w:pPr>
              <w:pStyle w:val="TableContents"/>
              <w:bidi w:val="0"/>
              <w:spacing w:before="0" w:after="283"/>
              <w:jc w:val="left"/>
              <w:rPr/>
            </w:pPr>
            <w:r>
              <w:rPr/>
              <w:t> </w:t>
            </w:r>
          </w:p>
        </w:tc>
        <w:tc>
          <w:tcPr>
            <w:tcW w:w="43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39" w:type="dxa"/>
            <w:gridSpan w:val="2"/>
            <w:tcBorders/>
            <w:vAlign w:val="center"/>
          </w:tcPr>
          <w:p>
            <w:pPr>
              <w:pStyle w:val="TableContents"/>
              <w:bidi w:val="0"/>
              <w:spacing w:before="0" w:after="283"/>
              <w:jc w:val="left"/>
              <w:rPr>
                <w:b/>
              </w:rPr>
            </w:pPr>
            <w:r>
              <w:rPr>
                <w:b/>
              </w:rPr>
              <w:t>LMR CCSA MASTER FUND LIMITED</w:t>
            </w:r>
          </w:p>
        </w:tc>
      </w:tr>
      <w:tr>
        <w:trPr/>
        <w:tc>
          <w:tcPr>
            <w:tcW w:w="75" w:type="dxa"/>
            <w:tcBorders/>
            <w:vAlign w:val="center"/>
          </w:tcPr>
          <w:p>
            <w:pPr>
              <w:pStyle w:val="TableContents"/>
              <w:bidi w:val="0"/>
              <w:spacing w:before="0" w:after="283"/>
              <w:jc w:val="left"/>
              <w:rPr/>
            </w:pPr>
            <w:r>
              <w:rPr/>
              <w:t> </w:t>
            </w:r>
          </w:p>
        </w:tc>
        <w:tc>
          <w:tcPr>
            <w:tcW w:w="43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left"/>
              <w:rPr/>
            </w:pPr>
            <w:r>
              <w:rPr/>
              <w:t>By:</w:t>
            </w:r>
          </w:p>
        </w:tc>
        <w:tc>
          <w:tcPr>
            <w:tcW w:w="3190" w:type="dxa"/>
            <w:tcBorders/>
            <w:vAlign w:val="center"/>
          </w:tcPr>
          <w:p>
            <w:pPr>
              <w:pStyle w:val="TableContents"/>
              <w:bidi w:val="0"/>
              <w:spacing w:before="0" w:after="283"/>
              <w:jc w:val="left"/>
              <w:rPr/>
            </w:pPr>
            <w:r>
              <w:rPr/>
              <w:t>LMR Partners LLP</w:t>
            </w:r>
          </w:p>
        </w:tc>
      </w:tr>
      <w:tr>
        <w:trPr/>
        <w:tc>
          <w:tcPr>
            <w:tcW w:w="75"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left"/>
              <w:rPr/>
            </w:pPr>
            <w:r>
              <w:rPr/>
              <w:t xml:space="preserve">Its: </w:t>
            </w:r>
          </w:p>
        </w:tc>
        <w:tc>
          <w:tcPr>
            <w:tcW w:w="3190" w:type="dxa"/>
            <w:tcBorders/>
            <w:vAlign w:val="center"/>
          </w:tcPr>
          <w:p>
            <w:pPr>
              <w:pStyle w:val="TableContents"/>
              <w:bidi w:val="0"/>
              <w:spacing w:before="0" w:after="283"/>
              <w:jc w:val="left"/>
              <w:rPr/>
            </w:pPr>
            <w:r>
              <w:rPr/>
              <w:t>Investment Manager</w:t>
            </w:r>
          </w:p>
        </w:tc>
      </w:tr>
      <w:tr>
        <w:trPr/>
        <w:tc>
          <w:tcPr>
            <w:tcW w:w="75" w:type="dxa"/>
            <w:tcBorders/>
            <w:vAlign w:val="center"/>
          </w:tcPr>
          <w:p>
            <w:pPr>
              <w:pStyle w:val="TableContents"/>
              <w:bidi w:val="0"/>
              <w:spacing w:before="0" w:after="283"/>
              <w:jc w:val="left"/>
              <w:rPr/>
            </w:pPr>
            <w:r>
              <w:rPr/>
              <w:t> </w:t>
            </w:r>
          </w:p>
        </w:tc>
        <w:tc>
          <w:tcPr>
            <w:tcW w:w="43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left"/>
              <w:rPr/>
            </w:pPr>
            <w:r>
              <w:rPr/>
              <w:t>By:</w:t>
            </w:r>
          </w:p>
        </w:tc>
        <w:tc>
          <w:tcPr>
            <w:tcW w:w="3190" w:type="dxa"/>
            <w:tcBorders>
              <w:bottom w:val="single" w:sz="12" w:space="0" w:color="000000"/>
            </w:tcBorders>
            <w:tcMar>
              <w:bottom w:w="28" w:type="dxa"/>
            </w:tcMar>
            <w:vAlign w:val="center"/>
          </w:tcPr>
          <w:p>
            <w:pPr>
              <w:pStyle w:val="TableContents"/>
              <w:bidi w:val="0"/>
              <w:spacing w:before="0" w:after="283"/>
              <w:jc w:val="left"/>
              <w:rPr/>
            </w:pPr>
            <w:r>
              <w:rPr/>
              <w:t>/s/ Shane Cullinane</w:t>
            </w:r>
          </w:p>
        </w:tc>
      </w:tr>
      <w:tr>
        <w:trPr/>
        <w:tc>
          <w:tcPr>
            <w:tcW w:w="75"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left"/>
              <w:rPr/>
            </w:pPr>
            <w:r>
              <w:rPr/>
              <w:t>Name: </w:t>
            </w:r>
          </w:p>
        </w:tc>
        <w:tc>
          <w:tcPr>
            <w:tcW w:w="3190" w:type="dxa"/>
            <w:tcBorders/>
            <w:vAlign w:val="center"/>
          </w:tcPr>
          <w:p>
            <w:pPr>
              <w:pStyle w:val="TableContents"/>
              <w:bidi w:val="0"/>
              <w:spacing w:before="0" w:after="283"/>
              <w:jc w:val="left"/>
              <w:rPr/>
            </w:pPr>
            <w:r>
              <w:rPr/>
              <w:t>Shane Cullinane</w:t>
            </w:r>
          </w:p>
        </w:tc>
      </w:tr>
      <w:tr>
        <w:trPr/>
        <w:tc>
          <w:tcPr>
            <w:tcW w:w="75"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left"/>
              <w:rPr/>
            </w:pPr>
            <w:r>
              <w:rPr/>
              <w:t>Title:</w:t>
            </w:r>
          </w:p>
        </w:tc>
        <w:tc>
          <w:tcPr>
            <w:tcW w:w="3190" w:type="dxa"/>
            <w:tcBorders/>
            <w:vAlign w:val="center"/>
          </w:tcPr>
          <w:p>
            <w:pPr>
              <w:pStyle w:val="TableContents"/>
              <w:bidi w:val="0"/>
              <w:spacing w:before="0" w:after="283"/>
              <w:jc w:val="left"/>
              <w:rPr/>
            </w:pPr>
            <w:r>
              <w:rPr/>
              <w:t>COO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2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20" w:right="18" w:firstLine="211"/>
        <w:jc w:val="left"/>
        <w:rPr>
          <w:caps w:val="false"/>
          <w:smallCaps w:val="false"/>
        </w:rPr>
      </w:pPr>
      <w:r>
        <w:rPr>
          <w:caps w:val="false"/>
          <w:smallCaps w:val="false"/>
        </w:rPr>
        <w:t> </w:t>
      </w:r>
    </w:p>
    <w:tbl>
      <w:tblPr>
        <w:tblW w:w="5989" w:type="dxa"/>
        <w:jc w:val="left"/>
        <w:tblInd w:w="0" w:type="dxa"/>
        <w:tblLayout w:type="fixed"/>
        <w:tblCellMar>
          <w:top w:w="0" w:type="dxa"/>
          <w:left w:w="0" w:type="dxa"/>
          <w:bottom w:w="0" w:type="dxa"/>
          <w:right w:w="0" w:type="dxa"/>
        </w:tblCellMar>
      </w:tblPr>
      <w:tblGrid>
        <w:gridCol w:w="75"/>
        <w:gridCol w:w="1567"/>
        <w:gridCol w:w="4347"/>
      </w:tblGrid>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b/>
              </w:rPr>
            </w:pPr>
            <w:r>
              <w:rPr>
                <w:b/>
              </w:rPr>
              <w:t>PIPE HOLDERS:</w:t>
            </w:r>
          </w:p>
        </w:tc>
      </w:tr>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b/>
              </w:rPr>
            </w:pPr>
            <w:r>
              <w:rPr>
                <w:b/>
              </w:rPr>
              <w:t>LMR MULTI-STRATEGY MASTER FUND LIMITED</w:t>
            </w:r>
          </w:p>
        </w:tc>
      </w:tr>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67" w:type="dxa"/>
            <w:tcBorders/>
            <w:vAlign w:val="center"/>
          </w:tcPr>
          <w:p>
            <w:pPr>
              <w:pStyle w:val="TableContents"/>
              <w:bidi w:val="0"/>
              <w:spacing w:before="0" w:after="283"/>
              <w:jc w:val="left"/>
              <w:rPr/>
            </w:pPr>
            <w:r>
              <w:rPr/>
              <w:t>By:</w:t>
            </w:r>
          </w:p>
        </w:tc>
        <w:tc>
          <w:tcPr>
            <w:tcW w:w="4347" w:type="dxa"/>
            <w:tcBorders/>
            <w:vAlign w:val="center"/>
          </w:tcPr>
          <w:p>
            <w:pPr>
              <w:pStyle w:val="TableContents"/>
              <w:bidi w:val="0"/>
              <w:spacing w:before="0" w:after="283"/>
              <w:jc w:val="left"/>
              <w:rPr/>
            </w:pPr>
            <w:r>
              <w:rPr/>
              <w:t>LMR Partners LLP</w:t>
            </w:r>
          </w:p>
        </w:tc>
      </w:tr>
      <w:tr>
        <w:trPr/>
        <w:tc>
          <w:tcPr>
            <w:tcW w:w="75" w:type="dxa"/>
            <w:tcBorders/>
            <w:vAlign w:val="center"/>
          </w:tcPr>
          <w:p>
            <w:pPr>
              <w:pStyle w:val="TableContents"/>
              <w:bidi w:val="0"/>
              <w:spacing w:before="0" w:after="283"/>
              <w:jc w:val="left"/>
              <w:rPr/>
            </w:pPr>
            <w:r>
              <w:rPr/>
              <w:t> </w:t>
            </w:r>
          </w:p>
        </w:tc>
        <w:tc>
          <w:tcPr>
            <w:tcW w:w="1567" w:type="dxa"/>
            <w:tcBorders/>
            <w:vAlign w:val="center"/>
          </w:tcPr>
          <w:p>
            <w:pPr>
              <w:pStyle w:val="TableContents"/>
              <w:bidi w:val="0"/>
              <w:spacing w:before="0" w:after="283"/>
              <w:jc w:val="left"/>
              <w:rPr/>
            </w:pPr>
            <w:r>
              <w:rPr/>
              <w:t>Its:</w:t>
            </w:r>
          </w:p>
        </w:tc>
        <w:tc>
          <w:tcPr>
            <w:tcW w:w="4347" w:type="dxa"/>
            <w:tcBorders/>
            <w:vAlign w:val="center"/>
          </w:tcPr>
          <w:p>
            <w:pPr>
              <w:pStyle w:val="TableContents"/>
              <w:bidi w:val="0"/>
              <w:spacing w:before="0" w:after="283"/>
              <w:jc w:val="left"/>
              <w:rPr/>
            </w:pPr>
            <w:r>
              <w:rPr/>
              <w:t>Investment Manager</w:t>
            </w:r>
          </w:p>
        </w:tc>
      </w:tr>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67" w:type="dxa"/>
            <w:tcBorders/>
            <w:vAlign w:val="center"/>
          </w:tcPr>
          <w:p>
            <w:pPr>
              <w:pStyle w:val="TableContents"/>
              <w:bidi w:val="0"/>
              <w:spacing w:before="0" w:after="283"/>
              <w:jc w:val="left"/>
              <w:rPr/>
            </w:pPr>
            <w:r>
              <w:rPr/>
              <w:t>By:</w:t>
            </w:r>
          </w:p>
        </w:tc>
        <w:tc>
          <w:tcPr>
            <w:tcW w:w="4347" w:type="dxa"/>
            <w:tcBorders>
              <w:bottom w:val="single" w:sz="12" w:space="0" w:color="000000"/>
            </w:tcBorders>
            <w:tcMar>
              <w:bottom w:w="28" w:type="dxa"/>
            </w:tcMar>
            <w:vAlign w:val="center"/>
          </w:tcPr>
          <w:p>
            <w:pPr>
              <w:pStyle w:val="TableContents"/>
              <w:bidi w:val="0"/>
              <w:spacing w:before="0" w:after="283"/>
              <w:jc w:val="left"/>
              <w:rPr/>
            </w:pPr>
            <w:r>
              <w:rPr/>
              <w:t>/s/ Shane Cullinane</w:t>
            </w:r>
          </w:p>
        </w:tc>
      </w:tr>
      <w:tr>
        <w:trPr/>
        <w:tc>
          <w:tcPr>
            <w:tcW w:w="75" w:type="dxa"/>
            <w:tcBorders/>
            <w:vAlign w:val="center"/>
          </w:tcPr>
          <w:p>
            <w:pPr>
              <w:pStyle w:val="TableContents"/>
              <w:bidi w:val="0"/>
              <w:spacing w:before="0" w:after="283"/>
              <w:jc w:val="left"/>
              <w:rPr/>
            </w:pPr>
            <w:r>
              <w:rPr/>
              <w:t> </w:t>
            </w:r>
          </w:p>
        </w:tc>
        <w:tc>
          <w:tcPr>
            <w:tcW w:w="1567" w:type="dxa"/>
            <w:tcBorders/>
            <w:vAlign w:val="center"/>
          </w:tcPr>
          <w:p>
            <w:pPr>
              <w:pStyle w:val="TableContents"/>
              <w:bidi w:val="0"/>
              <w:spacing w:before="0" w:after="283"/>
              <w:jc w:val="left"/>
              <w:rPr/>
            </w:pPr>
            <w:r>
              <w:rPr/>
              <w:t>Name: </w:t>
            </w:r>
          </w:p>
        </w:tc>
        <w:tc>
          <w:tcPr>
            <w:tcW w:w="4347" w:type="dxa"/>
            <w:tcBorders/>
            <w:vAlign w:val="center"/>
          </w:tcPr>
          <w:p>
            <w:pPr>
              <w:pStyle w:val="TableContents"/>
              <w:bidi w:val="0"/>
              <w:spacing w:before="0" w:after="283"/>
              <w:jc w:val="left"/>
              <w:rPr/>
            </w:pPr>
            <w:r>
              <w:rPr/>
              <w:t>Shane Cullinane</w:t>
            </w:r>
          </w:p>
        </w:tc>
      </w:tr>
      <w:tr>
        <w:trPr/>
        <w:tc>
          <w:tcPr>
            <w:tcW w:w="75" w:type="dxa"/>
            <w:tcBorders/>
            <w:vAlign w:val="center"/>
          </w:tcPr>
          <w:p>
            <w:pPr>
              <w:pStyle w:val="TableContents"/>
              <w:bidi w:val="0"/>
              <w:spacing w:before="0" w:after="283"/>
              <w:jc w:val="left"/>
              <w:rPr/>
            </w:pPr>
            <w:r>
              <w:rPr/>
              <w:t> </w:t>
            </w:r>
          </w:p>
        </w:tc>
        <w:tc>
          <w:tcPr>
            <w:tcW w:w="1567" w:type="dxa"/>
            <w:tcBorders/>
            <w:vAlign w:val="center"/>
          </w:tcPr>
          <w:p>
            <w:pPr>
              <w:pStyle w:val="TableContents"/>
              <w:bidi w:val="0"/>
              <w:spacing w:before="0" w:after="283"/>
              <w:jc w:val="left"/>
              <w:rPr/>
            </w:pPr>
            <w:r>
              <w:rPr/>
              <w:t>Title:</w:t>
            </w:r>
          </w:p>
        </w:tc>
        <w:tc>
          <w:tcPr>
            <w:tcW w:w="4347" w:type="dxa"/>
            <w:tcBorders/>
            <w:vAlign w:val="center"/>
          </w:tcPr>
          <w:p>
            <w:pPr>
              <w:pStyle w:val="TableContents"/>
              <w:bidi w:val="0"/>
              <w:spacing w:before="0" w:after="283"/>
              <w:jc w:val="left"/>
              <w:rPr/>
            </w:pPr>
            <w:r>
              <w:rPr/>
              <w:t>COO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7879" w:type="dxa"/>
        <w:jc w:val="left"/>
        <w:tblInd w:w="0" w:type="dxa"/>
        <w:tblLayout w:type="fixed"/>
        <w:tblCellMar>
          <w:top w:w="0" w:type="dxa"/>
          <w:left w:w="0" w:type="dxa"/>
          <w:bottom w:w="0" w:type="dxa"/>
          <w:right w:w="0" w:type="dxa"/>
        </w:tblCellMar>
      </w:tblPr>
      <w:tblGrid>
        <w:gridCol w:w="75"/>
        <w:gridCol w:w="1861"/>
        <w:gridCol w:w="5943"/>
      </w:tblGrid>
      <w:tr>
        <w:trPr/>
        <w:tc>
          <w:tcPr>
            <w:tcW w:w="75" w:type="dxa"/>
            <w:tcBorders/>
            <w:vAlign w:val="center"/>
          </w:tcPr>
          <w:p>
            <w:pPr>
              <w:pStyle w:val="TableContents"/>
              <w:bidi w:val="0"/>
              <w:spacing w:before="0" w:after="283"/>
              <w:jc w:val="left"/>
              <w:rPr/>
            </w:pPr>
            <w:r>
              <w:rPr/>
              <w:t> </w:t>
            </w:r>
          </w:p>
        </w:tc>
        <w:tc>
          <w:tcPr>
            <w:tcW w:w="7804" w:type="dxa"/>
            <w:gridSpan w:val="2"/>
            <w:tcBorders/>
            <w:vAlign w:val="center"/>
          </w:tcPr>
          <w:p>
            <w:pPr>
              <w:pStyle w:val="TableContents"/>
              <w:bidi w:val="0"/>
              <w:spacing w:before="0" w:after="283"/>
              <w:jc w:val="left"/>
              <w:rPr>
                <w:b/>
              </w:rPr>
            </w:pPr>
            <w:r>
              <w:rPr>
                <w:b/>
              </w:rPr>
              <w:t>SPONSOR:</w:t>
            </w:r>
          </w:p>
        </w:tc>
      </w:tr>
      <w:tr>
        <w:trPr/>
        <w:tc>
          <w:tcPr>
            <w:tcW w:w="75" w:type="dxa"/>
            <w:tcBorders/>
            <w:vAlign w:val="center"/>
          </w:tcPr>
          <w:p>
            <w:pPr>
              <w:pStyle w:val="TableContents"/>
              <w:bidi w:val="0"/>
              <w:spacing w:before="0" w:after="283"/>
              <w:jc w:val="left"/>
              <w:rPr/>
            </w:pPr>
            <w:r>
              <w:rPr/>
              <w:t> </w:t>
            </w:r>
          </w:p>
        </w:tc>
        <w:tc>
          <w:tcPr>
            <w:tcW w:w="78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04" w:type="dxa"/>
            <w:gridSpan w:val="2"/>
            <w:tcBorders/>
            <w:vAlign w:val="center"/>
          </w:tcPr>
          <w:p>
            <w:pPr>
              <w:pStyle w:val="TableContents"/>
              <w:bidi w:val="0"/>
              <w:spacing w:before="0" w:after="283"/>
              <w:jc w:val="left"/>
              <w:rPr>
                <w:b/>
              </w:rPr>
            </w:pPr>
            <w:r>
              <w:rPr>
                <w:b/>
              </w:rPr>
              <w:t>BLEICHROEDER SPONSOR 1 LLC, a Delaware limited liability company</w:t>
            </w:r>
          </w:p>
        </w:tc>
      </w:tr>
      <w:tr>
        <w:trPr/>
        <w:tc>
          <w:tcPr>
            <w:tcW w:w="75" w:type="dxa"/>
            <w:tcBorders/>
            <w:vAlign w:val="center"/>
          </w:tcPr>
          <w:p>
            <w:pPr>
              <w:pStyle w:val="TableContents"/>
              <w:bidi w:val="0"/>
              <w:spacing w:before="0" w:after="283"/>
              <w:jc w:val="left"/>
              <w:rPr/>
            </w:pPr>
            <w:r>
              <w:rPr/>
              <w:t> </w:t>
            </w:r>
          </w:p>
        </w:tc>
        <w:tc>
          <w:tcPr>
            <w:tcW w:w="78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left"/>
              <w:rPr/>
            </w:pPr>
            <w:r>
              <w:rPr/>
              <w:t>By:</w:t>
            </w:r>
          </w:p>
        </w:tc>
        <w:tc>
          <w:tcPr>
            <w:tcW w:w="5943" w:type="dxa"/>
            <w:tcBorders>
              <w:bottom w:val="single" w:sz="12" w:space="0" w:color="000000"/>
            </w:tcBorders>
            <w:tcMar>
              <w:bottom w:w="28" w:type="dxa"/>
            </w:tcMar>
            <w:vAlign w:val="center"/>
          </w:tcPr>
          <w:p>
            <w:pPr>
              <w:pStyle w:val="TableContents"/>
              <w:bidi w:val="0"/>
              <w:spacing w:before="0" w:after="283"/>
              <w:jc w:val="left"/>
              <w:rPr/>
            </w:pPr>
            <w:r>
              <w:rPr/>
              <w:t>/s/ Andrew Gundlach</w:t>
            </w:r>
          </w:p>
        </w:tc>
      </w:tr>
      <w:tr>
        <w:trPr/>
        <w:tc>
          <w:tcPr>
            <w:tcW w:w="75"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left"/>
              <w:rPr/>
            </w:pPr>
            <w:r>
              <w:rPr/>
              <w:t>Name:</w:t>
            </w:r>
          </w:p>
        </w:tc>
        <w:tc>
          <w:tcPr>
            <w:tcW w:w="5943" w:type="dxa"/>
            <w:tcBorders/>
            <w:vAlign w:val="center"/>
          </w:tcPr>
          <w:p>
            <w:pPr>
              <w:pStyle w:val="TableContents"/>
              <w:bidi w:val="0"/>
              <w:spacing w:before="0" w:after="283"/>
              <w:jc w:val="left"/>
              <w:rPr/>
            </w:pPr>
            <w:r>
              <w:rPr/>
              <w:t>Andrew Gundlach</w:t>
            </w:r>
          </w:p>
        </w:tc>
      </w:tr>
      <w:tr>
        <w:trPr/>
        <w:tc>
          <w:tcPr>
            <w:tcW w:w="75"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left"/>
              <w:rPr/>
            </w:pPr>
            <w:r>
              <w:rPr/>
              <w:t>Title:</w:t>
            </w:r>
          </w:p>
        </w:tc>
        <w:tc>
          <w:tcPr>
            <w:tcW w:w="5943" w:type="dxa"/>
            <w:tcBorders/>
            <w:vAlign w:val="center"/>
          </w:tcPr>
          <w:p>
            <w:pPr>
              <w:pStyle w:val="TableContents"/>
              <w:bidi w:val="0"/>
              <w:spacing w:before="0" w:after="283"/>
              <w:jc w:val="left"/>
              <w:rPr/>
            </w:pPr>
            <w:r>
              <w:rPr/>
              <w:t>Managing Member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REGISTRATION RIGHTS AGREEMENT JOINDER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executing and delivering this joinder (this “</w:t>
      </w:r>
      <w:r>
        <w:rPr>
          <w:rFonts w:ascii="Times New Roman;Times;Serif" w:hAnsi="Times New Roman;Times;Serif"/>
          <w:b/>
          <w:i/>
          <w:caps w:val="false"/>
          <w:smallCaps w:val="false"/>
          <w:sz w:val="20"/>
        </w:rPr>
        <w:t>Joinder</w:t>
      </w:r>
      <w:r>
        <w:rPr>
          <w:rFonts w:ascii="Times New Roman;Times;Serif" w:hAnsi="Times New Roman;Times;Serif"/>
          <w:b w:val="false"/>
          <w:i w:val="false"/>
          <w:caps w:val="false"/>
          <w:smallCaps w:val="false"/>
          <w:sz w:val="20"/>
        </w:rPr>
        <w:t>”) pursuant to the Amended and Restated Registration Rights Agreement, dated as of March 16, 2026 (as the same may hereafter be amended, the “</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among Merlin,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the other Persons named as parties therein. Capitalized terms used but not otherwise defined herein shall have the meanings provided in the Registration Rights Agreement.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as [a Sponsor Holder / a Merlin Holder / a PIPE Holder], and the undersigned’s [shares of Common Stock] shall be included as Registrable Securities under the Registration Rights Agreement to the extent provided therein;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undersigned and its permitted assigns (if any) shall not have any rights as Holders, and the undersigned’s (and its transferees’) [shares of Common Stock] shall not be included as Registrable Securities, for purposes of the Excluded Sections.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Joinder, “</w:t>
      </w:r>
      <w:r>
        <w:rPr>
          <w:rFonts w:ascii="Times New Roman;Times;Serif" w:hAnsi="Times New Roman;Times;Serif"/>
          <w:b/>
          <w:i/>
          <w:caps w:val="false"/>
          <w:smallCaps w:val="false"/>
          <w:sz w:val="20"/>
        </w:rPr>
        <w:t>Excluded Sections</w:t>
      </w:r>
      <w:r>
        <w:rPr>
          <w:rFonts w:ascii="Times New Roman;Times;Serif" w:hAnsi="Times New Roman;Times;Serif"/>
          <w:b w:val="false"/>
          <w:i w:val="false"/>
          <w:caps w:val="false"/>
          <w:smallCaps w:val="false"/>
          <w:sz w:val="20"/>
        </w:rPr>
        <w:t>” shall mean [</w:t>
      </w:r>
      <w:r>
        <w:rPr>
          <w:rFonts w:ascii="Times New Roman;Times;Serif" w:hAnsi="Times New Roman;Times;Serif"/>
          <w:b w:val="false"/>
          <w:i w:val="false"/>
          <w:caps w:val="false"/>
          <w:smallCaps w:val="false"/>
          <w:sz w:val="20"/>
          <w:u w:val="single"/>
        </w:rPr>
        <w:tab/>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the undersigned has executed and delivered this Joinder as of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 20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tbl>
      <w:tblPr>
        <w:tblW w:w="2705" w:type="dxa"/>
        <w:jc w:val="left"/>
        <w:tblInd w:w="0" w:type="dxa"/>
        <w:tblLayout w:type="fixed"/>
        <w:tblCellMar>
          <w:top w:w="0" w:type="dxa"/>
          <w:left w:w="0" w:type="dxa"/>
          <w:bottom w:w="0" w:type="dxa"/>
          <w:right w:w="0" w:type="dxa"/>
        </w:tblCellMar>
      </w:tblPr>
      <w:tblGrid>
        <w:gridCol w:w="75"/>
        <w:gridCol w:w="2630"/>
      </w:tblGrid>
      <w:tr>
        <w:trPr/>
        <w:tc>
          <w:tcPr>
            <w:tcW w:w="75" w:type="dxa"/>
            <w:tcBorders/>
            <w:vAlign w:val="center"/>
          </w:tcPr>
          <w:p>
            <w:pPr>
              <w:pStyle w:val="TableContents"/>
              <w:bidi w:val="0"/>
              <w:spacing w:before="0" w:after="283"/>
              <w:jc w:val="left"/>
              <w:rPr/>
            </w:pPr>
            <w:r>
              <w:rPr/>
              <w:t> </w:t>
            </w:r>
          </w:p>
        </w:tc>
        <w:tc>
          <w:tcPr>
            <w:tcW w:w="26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Signature of Stockholder</w:t>
            </w:r>
          </w:p>
        </w:tc>
      </w:tr>
      <w:tr>
        <w:trPr/>
        <w:tc>
          <w:tcPr>
            <w:tcW w:w="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xml:space="preserve">Print Name of Stockholder </w:t>
            </w:r>
          </w:p>
        </w:tc>
      </w:tr>
      <w:tr>
        <w:trPr/>
        <w:tc>
          <w:tcPr>
            <w:tcW w:w="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Its:</w:t>
            </w:r>
          </w:p>
        </w:tc>
      </w:tr>
    </w:tbl>
    <w:p>
      <w:pPr>
        <w:pStyle w:val="TextBody"/>
        <w:bidi w:val="0"/>
        <w:spacing w:before="0" w:after="0"/>
        <w:ind w:left="0" w:right="0" w:hanging="0"/>
        <w:jc w:val="left"/>
        <w:rPr>
          <w:caps w:val="false"/>
          <w:smallCaps w:val="false"/>
        </w:rPr>
      </w:pPr>
      <w:r>
        <w:rPr>
          <w:caps w:val="false"/>
          <w:smallCaps w:val="false"/>
        </w:rPr>
        <w:t> </w:t>
      </w:r>
    </w:p>
    <w:tbl>
      <w:tblPr>
        <w:tblW w:w="1010" w:type="dxa"/>
        <w:jc w:val="left"/>
        <w:tblInd w:w="0" w:type="dxa"/>
        <w:tblLayout w:type="fixed"/>
        <w:tblCellMar>
          <w:top w:w="0" w:type="dxa"/>
          <w:left w:w="0" w:type="dxa"/>
          <w:bottom w:w="0" w:type="dxa"/>
          <w:right w:w="0" w:type="dxa"/>
        </w:tblCellMar>
      </w:tblPr>
      <w:tblGrid>
        <w:gridCol w:w="75"/>
        <w:gridCol w:w="860"/>
        <w:gridCol w:w="75"/>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689" w:type="dxa"/>
        <w:jc w:val="left"/>
        <w:tblInd w:w="0" w:type="dxa"/>
        <w:tblLayout w:type="fixed"/>
        <w:tblCellMar>
          <w:top w:w="0" w:type="dxa"/>
          <w:left w:w="0" w:type="dxa"/>
          <w:bottom w:w="0" w:type="dxa"/>
          <w:right w:w="0" w:type="dxa"/>
        </w:tblCellMar>
      </w:tblPr>
      <w:tblGrid>
        <w:gridCol w:w="2377"/>
        <w:gridCol w:w="237"/>
        <w:gridCol w:w="75"/>
      </w:tblGrid>
      <w:tr>
        <w:trPr/>
        <w:tc>
          <w:tcPr>
            <w:tcW w:w="2614" w:type="dxa"/>
            <w:gridSpan w:val="2"/>
            <w:tcBorders/>
            <w:vAlign w:val="center"/>
          </w:tcPr>
          <w:p>
            <w:pPr>
              <w:pStyle w:val="TableContents"/>
              <w:bidi w:val="0"/>
              <w:spacing w:before="0" w:after="283"/>
              <w:jc w:val="left"/>
              <w:rPr/>
            </w:pPr>
            <w:r>
              <w:rPr/>
              <w:t>Agreed and Accepted as of</w:t>
            </w:r>
          </w:p>
        </w:tc>
        <w:tc>
          <w:tcPr>
            <w:tcW w:w="75" w:type="dxa"/>
            <w:tcBorders/>
            <w:vAlign w:val="center"/>
          </w:tcPr>
          <w:p>
            <w:pPr>
              <w:pStyle w:val="TableContents"/>
              <w:bidi w:val="0"/>
              <w:spacing w:before="0" w:after="283"/>
              <w:jc w:val="left"/>
              <w:rPr/>
            </w:pPr>
            <w:r>
              <w:rPr/>
              <w:t> </w:t>
            </w:r>
          </w:p>
        </w:tc>
      </w:tr>
      <w:tr>
        <w:trPr/>
        <w:tc>
          <w:tcPr>
            <w:tcW w:w="2614" w:type="dxa"/>
            <w:gridSpan w:val="2"/>
            <w:tcBorders/>
            <w:vAlign w:val="center"/>
          </w:tcPr>
          <w:p>
            <w:pPr>
              <w:pStyle w:val="TableContents"/>
              <w:bidi w:val="0"/>
              <w:spacing w:before="0" w:after="283"/>
              <w:jc w:val="left"/>
              <w:rPr/>
            </w:pPr>
            <w:r>
              <w:rPr>
                <w:u w:val="single"/>
              </w:rPr>
              <w:t>                  </w:t>
            </w:r>
            <w:r>
              <w:rPr/>
              <w:t xml:space="preserve">, 20 </w:t>
            </w:r>
            <w:r>
              <w:rPr>
                <w:u w:val="single"/>
              </w:rPr>
              <w:t>    </w:t>
            </w:r>
          </w:p>
        </w:tc>
        <w:tc>
          <w:tcPr>
            <w:tcW w:w="75" w:type="dxa"/>
            <w:tcBorders/>
            <w:vAlign w:val="center"/>
          </w:tcPr>
          <w:p>
            <w:pPr>
              <w:pStyle w:val="TableContents"/>
              <w:bidi w:val="0"/>
              <w:spacing w:before="0" w:after="283"/>
              <w:jc w:val="left"/>
              <w:rPr/>
            </w:pPr>
            <w:r>
              <w:rPr/>
              <w:t> </w:t>
            </w:r>
          </w:p>
        </w:tc>
      </w:tr>
      <w:tr>
        <w:trPr/>
        <w:tc>
          <w:tcPr>
            <w:tcW w:w="26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14" w:type="dxa"/>
            <w:gridSpan w:val="2"/>
            <w:tcBorders/>
            <w:vAlign w:val="center"/>
          </w:tcPr>
          <w:p>
            <w:pPr>
              <w:pStyle w:val="TableContents"/>
              <w:bidi w:val="0"/>
              <w:spacing w:before="0" w:after="283"/>
              <w:jc w:val="left"/>
              <w:rPr>
                <w:b/>
              </w:rPr>
            </w:pPr>
            <w:r>
              <w:rPr>
                <w:b/>
              </w:rPr>
              <w:t>[ ● ]</w:t>
            </w:r>
          </w:p>
        </w:tc>
        <w:tc>
          <w:tcPr>
            <w:tcW w:w="75" w:type="dxa"/>
            <w:tcBorders/>
            <w:vAlign w:val="center"/>
          </w:tcPr>
          <w:p>
            <w:pPr>
              <w:pStyle w:val="TableContents"/>
              <w:bidi w:val="0"/>
              <w:spacing w:before="0" w:after="283"/>
              <w:jc w:val="left"/>
              <w:rPr/>
            </w:pPr>
            <w:r>
              <w:rPr/>
              <w:t> </w:t>
            </w:r>
          </w:p>
        </w:tc>
      </w:tr>
      <w:tr>
        <w:trPr/>
        <w:tc>
          <w:tcPr>
            <w:tcW w:w="2377" w:type="dxa"/>
            <w:tcBorders/>
            <w:vAlign w:val="center"/>
          </w:tcPr>
          <w:p>
            <w:pPr>
              <w:pStyle w:val="TableContents"/>
              <w:bidi w:val="0"/>
              <w:spacing w:before="0" w:after="283"/>
              <w:jc w:val="left"/>
              <w:rPr/>
            </w:pPr>
            <w:r>
              <w:rPr/>
              <w:t>By:</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77" w:type="dxa"/>
            <w:tcBorders/>
            <w:vAlign w:val="center"/>
          </w:tcPr>
          <w:p>
            <w:pPr>
              <w:pStyle w:val="TableContents"/>
              <w:bidi w:val="0"/>
              <w:spacing w:before="0" w:after="283"/>
              <w:jc w:val="left"/>
              <w:rPr/>
            </w:pPr>
            <w:r>
              <w:rPr/>
              <w:t>Name: </w:t>
            </w:r>
          </w:p>
        </w:tc>
        <w:tc>
          <w:tcPr>
            <w:tcW w:w="23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77" w:type="dxa"/>
            <w:tcBorders/>
            <w:vAlign w:val="center"/>
          </w:tcPr>
          <w:p>
            <w:pPr>
              <w:pStyle w:val="TableContents"/>
              <w:bidi w:val="0"/>
              <w:spacing w:before="0" w:after="283"/>
              <w:jc w:val="left"/>
              <w:rPr/>
            </w:pPr>
            <w:r>
              <w:rPr/>
              <w:t>Its:</w:t>
            </w:r>
          </w:p>
        </w:tc>
        <w:tc>
          <w:tcPr>
            <w:tcW w:w="23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Indemnification in-lieu-of Medallion Signature Guarantee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in regards to the transfer by [Bleichroeder Sponsor 1 LLC / Name of Sponsor Holder] to [  ], of [  ] shares of Common Stock of Merlin, Inc. (formerly known as Bleichroeder Acquisition Corp. I)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Please be advised that the Company authorizes Continental Stock Transfer &amp; Trust Company to process the subject transfer, which includes securities that have been duly endorsed by the registered holder but do not bear a customary medallion signature guarantee. The Company agrees to indemnify Continental Stock Transfer &amp; Trust Company against all losses, damages, costs, charges and expenses that it may in any way sustain, incur, or become liable for by reason related to the above referenced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 ● ], a duly authorized officer of the Company, have the authority to execute this indemnification on behalf of the Company.</w:t>
      </w:r>
    </w:p>
    <w:p>
      <w:pPr>
        <w:pStyle w:val="TextBody"/>
        <w:bidi w:val="0"/>
        <w:spacing w:before="0" w:after="0"/>
        <w:ind w:left="0" w:right="0" w:firstLine="720"/>
        <w:jc w:val="both"/>
        <w:rPr>
          <w:caps w:val="false"/>
          <w:smallCaps w:val="false"/>
        </w:rPr>
      </w:pPr>
      <w:r>
        <w:rPr>
          <w:caps w:val="false"/>
          <w:smallCaps w:val="false"/>
        </w:rPr>
        <w:t> </w:t>
      </w:r>
    </w:p>
    <w:tbl>
      <w:tblPr>
        <w:tblW w:w="1474" w:type="dxa"/>
        <w:jc w:val="left"/>
        <w:tblInd w:w="0" w:type="dxa"/>
        <w:tblLayout w:type="fixed"/>
        <w:tblCellMar>
          <w:top w:w="0" w:type="dxa"/>
          <w:left w:w="0" w:type="dxa"/>
          <w:bottom w:w="0" w:type="dxa"/>
          <w:right w:w="0" w:type="dxa"/>
        </w:tblCellMar>
      </w:tblPr>
      <w:tblGrid>
        <w:gridCol w:w="75"/>
        <w:gridCol w:w="805"/>
        <w:gridCol w:w="594"/>
      </w:tblGrid>
      <w:tr>
        <w:trPr/>
        <w:tc>
          <w:tcPr>
            <w:tcW w:w="75" w:type="dxa"/>
            <w:tcBorders/>
            <w:vAlign w:val="center"/>
          </w:tcPr>
          <w:p>
            <w:pPr>
              <w:pStyle w:val="TableContents"/>
              <w:bidi w:val="0"/>
              <w:spacing w:before="0" w:after="283"/>
              <w:jc w:val="both"/>
              <w:rPr/>
            </w:pPr>
            <w:r>
              <w:rPr/>
              <w:t> </w:t>
            </w:r>
          </w:p>
        </w:tc>
        <w:tc>
          <w:tcPr>
            <w:tcW w:w="139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both"/>
              <w:rPr/>
            </w:pPr>
            <w:r>
              <w:rPr/>
              <w:t> </w:t>
            </w:r>
          </w:p>
        </w:tc>
        <w:tc>
          <w:tcPr>
            <w:tcW w:w="139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9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 ]</w:t>
            </w:r>
          </w:p>
        </w:tc>
      </w:tr>
      <w:tr>
        <w:trPr/>
        <w:tc>
          <w:tcPr>
            <w:tcW w:w="75" w:type="dxa"/>
            <w:tcBorders/>
            <w:vAlign w:val="center"/>
          </w:tcPr>
          <w:p>
            <w:pPr>
              <w:pStyle w:val="TableContents"/>
              <w:bidi w:val="0"/>
              <w:spacing w:before="0" w:after="283"/>
              <w:jc w:val="both"/>
              <w:rPr/>
            </w:pPr>
            <w:r>
              <w:rPr/>
              <w:t> </w:t>
            </w:r>
          </w:p>
        </w:tc>
        <w:tc>
          <w:tcPr>
            <w:tcW w:w="139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594"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59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4"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2" w:name="ea028257401ex10-5.htm"/>
      <w:bookmarkStart w:id="53" w:name="ksea028257401ex105"/>
      <w:bookmarkEnd w:id="52"/>
      <w:bookmarkEnd w:id="53"/>
      <w:r>
        <w:rPr>
          <w:rFonts w:ascii="Times New Roman;Times;Serif" w:hAnsi="Times New Roman;Times;Serif"/>
          <w:b/>
          <w:i w:val="false"/>
          <w:caps w:val="false"/>
          <w:smallCaps w:val="false"/>
          <w:sz w:val="20"/>
        </w:rPr>
        <w:t>Exhibit 10.5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MERLIN,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2026 INCENTIVE AWARD PLAN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Eligibility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Providers are eligible to be granted Awards under the Plan, subject to the limitations described herein.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Administration and Delegation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Administration</w:t>
      </w:r>
      <w:r>
        <w:rPr>
          <w:rFonts w:ascii="Times New Roman;Times;Serif" w:hAnsi="Times New Roman;Times;Serif"/>
          <w:b w:val="false"/>
          <w:i w:val="false"/>
          <w:caps w:val="false"/>
          <w:smallCaps w:val="false"/>
          <w:sz w:val="20"/>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Appointment of Committees</w:t>
      </w:r>
      <w:r>
        <w:rPr>
          <w:rFonts w:ascii="Times New Roman;Times;Serif" w:hAnsi="Times New Roman;Times;Serif"/>
          <w:b w:val="false"/>
          <w:i w:val="false"/>
          <w:caps w:val="false"/>
          <w:smallCaps w:val="false"/>
          <w:sz w:val="20"/>
        </w:rPr>
        <w:t>. To the extent Applicable Laws permit, the Board or the Administrator may delegate any or all of its powers under the Plan to one or more Committees or committees of officers of the Company or any of its Subsidiaries. The Board or the Administrator, as applicable, may rescind any such delegation, abolish any such committee or Committee and/or re-vest in itself any previously delegated authority at any time.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r>
        <w:rPr>
          <w:rFonts w:ascii="Times New Roman;Times;Serif" w:hAnsi="Times New Roman;Times;Serif"/>
          <w:b w:val="false"/>
          <w:i w:val="false"/>
          <w:caps/>
          <w:sz w:val="20"/>
        </w:rPr>
        <w:br/>
      </w:r>
      <w:r>
        <w:rPr>
          <w:rFonts w:ascii="Times New Roman;Times;Serif" w:hAnsi="Times New Roman;Times;Serif"/>
          <w:b/>
          <w:i w:val="false"/>
          <w:caps/>
          <w:sz w:val="20"/>
        </w:rPr>
        <w:t>Stock Available for Awards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Subject to adjustment under Article VIII and the terms of this Article IV, the maximum number of Shares that may be issued pursuant to Awards under the Plan shall be equal to the Overall Share Limit. As of the Effective Date, the Company will cease granting awards under the Prior Plan; however, the Prior Plan Awards will remain subject to the terms of the Prior Plan. Shares issued under the Plan may consist of authorized but unissued Shares, Shares purchased on the open market or treasury Shares. Shares issued under the Plan will be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Share Recycling</w:t>
      </w:r>
      <w:r>
        <w:rPr>
          <w:rFonts w:ascii="Times New Roman;Times;Serif" w:hAnsi="Times New Roman;Times;Serif"/>
          <w:b w:val="false"/>
          <w:i w:val="false"/>
          <w:caps w:val="false"/>
          <w:smallCaps w:val="false"/>
          <w:sz w:val="20"/>
        </w:rPr>
        <w:t>. If all or any part of an Award or a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Further, the following Shares will, as applicable, become or again be available for Award grants under the Plan: (a)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(b) Shares subject to a Stock Appreciation Right that are not issued in connection with the stock settlement of the Stock Appreciation Right on exercise thereof and (c) Shares purchased on the open market with the cash proceeds from the exercise of Options . The payment of Dividend Equivalents in cash in conjunction with any outstanding Awards shall not count against the Overall Share Limit. Further notwithstanding anything to the contrary contained herein, no Shares shall again be available for future grants of Awards under the Plan pursuant to this Article IV to the extent that such return of shares would cause the Plan to be a “formula” plan or constitute a “material revision” or “material amendment” subject to stockholder approval under the requirements of the established stock exchange on which the Company’s securities are traded.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Incentive Stock Option Limitations</w:t>
      </w:r>
      <w:r>
        <w:rPr>
          <w:rFonts w:ascii="Times New Roman;Times;Serif" w:hAnsi="Times New Roman;Times;Serif"/>
          <w:b w:val="false"/>
          <w:i w:val="false"/>
          <w:caps w:val="false"/>
          <w:smallCaps w:val="false"/>
          <w:sz w:val="20"/>
        </w:rPr>
        <w:t>. Notwithstanding anything to the contrary herein, no more than 100,000,000 Shares may be issued pursuant to the exercise of Incentive Stock Options.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Substitute Awards</w:t>
      </w:r>
      <w:r>
        <w:rPr>
          <w:rFonts w:ascii="Times New Roman;Times;Serif" w:hAnsi="Times New Roman;Times;Serif"/>
          <w:b w:val="false"/>
          <w:i w:val="false"/>
          <w:caps w:val="false"/>
          <w:smallCaps w:val="false"/>
          <w:sz w:val="20"/>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Non-Employee Director Compensation</w:t>
      </w:r>
      <w:r>
        <w:rPr>
          <w:rFonts w:ascii="Times New Roman;Times;Serif" w:hAnsi="Times New Roman;Times;Serif"/>
          <w:b w:val="false"/>
          <w:i w:val="false"/>
          <w:caps w:val="false"/>
          <w:smallCaps w:val="false"/>
          <w:sz w:val="20"/>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commencing with the calendar year following the calendar year in which the Effective Date occurs,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with respect to any fiscal year of the Company may not exceed $750,000 (increased to $1,000,000 in a non-employee Director’s initial calendar year of service as a non-employee director or any calendar year during which a non-employee Director serves as chair of the Board or lead independent Director), which limits shall not apply to the compensation for any non-employee Director of the Company who serves in any capacity in addition to that of a non-employee Director for which he or she receives additional compensation.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Stock Options and Stock Appreciation Rights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Such amount shall be subject to any limitations of the Plan or that the Administrator may impose and payable in cash, Shares valued at Fair Market Value or a combination of the two as the Administrator may determine or provide in the Award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Sections 424 and 409A of the Code.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Duration</w:t>
      </w:r>
      <w:r>
        <w:rPr>
          <w:rFonts w:ascii="Times New Roman;Times;Serif" w:hAnsi="Times New Roman;Times;Serif"/>
          <w:b w:val="false"/>
          <w:i w:val="false"/>
          <w:caps w:val="false"/>
          <w:smallCaps w:val="false"/>
          <w:sz w:val="20"/>
        </w:rPr>
        <w:t xml:space="preserve">.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 no event shall the extension last beyond the ten year term of the applicable Option or Stock Appreciation Right.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Payment Upon Exercise</w:t>
      </w:r>
      <w:r>
        <w:rPr>
          <w:rFonts w:ascii="Times New Roman;Times;Serif" w:hAnsi="Times New Roman;Times;Serif"/>
          <w:b w:val="false"/>
          <w:i w:val="false"/>
          <w:caps w:val="false"/>
          <w:smallCaps w:val="false"/>
          <w:sz w:val="20"/>
        </w:rPr>
        <w:t>. Subject to Sections 9.10 and 10.8, any Company insider trading policy (including blackout periods) and Applicable Laws, the exercise price of an Option must be paid 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wire transfer of immediately available funds or by check payable to the order of the Company, provided that the Company may limit the use of one of the foregoing payment forms if one or more of the payment forms below is permitted;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permitted by the Administrator, delivery (either by actual delivery or attestation) of Shares owned by the Participant valued at their Fair Market Value;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permitted by the Administrator, surrendering Shares then issuable upon the Option’s exercise valued at their Fair Market Value on the exercise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permitted by the Administrator, delivery of a promissory note or any other property that the Administrator determines is good and valuable consideration;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permitted by the Company, any combination of the above payment forms approved by the Administrator.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Additional Terms of Incentive Stock Options</w:t>
      </w:r>
      <w:r>
        <w:rPr>
          <w:rFonts w:ascii="Times New Roman;Times;Serif" w:hAnsi="Times New Roman;Times;Serif"/>
          <w:b w:val="false"/>
          <w:i w:val="false"/>
          <w:caps w:val="false"/>
          <w:smallCaps w:val="false"/>
          <w:sz w:val="20"/>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Restricted Stock; Restricted Stock Units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Subject to the terms of this Section 6.2(a),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a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Stock Certificates</w:t>
      </w:r>
      <w:r>
        <w:rPr>
          <w:rFonts w:ascii="Times New Roman;Times;Serif" w:hAnsi="Times New Roman;Times;Serif"/>
          <w:b w:val="false"/>
          <w:i w:val="false"/>
          <w:caps w:val="false"/>
          <w:smallCaps w:val="false"/>
          <w:sz w:val="20"/>
        </w:rPr>
        <w:t>. The Company may require that the Participant deposit in escrow with the Company (or its designee) any stock certificates issued in respect of Shares of Restricted Stock, together with a stock power endorsed in blank.</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Restricted Stock Units.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Stockholder Rights</w:t>
      </w:r>
      <w:r>
        <w:rPr>
          <w:rFonts w:ascii="Times New Roman;Times;Serif" w:hAnsi="Times New Roman;Times;Serif"/>
          <w:b w:val="false"/>
          <w:i w:val="false"/>
          <w:caps w:val="false"/>
          <w:smallCaps w:val="false"/>
          <w:sz w:val="20"/>
        </w:rPr>
        <w:t>. A Participant will have no rights of a stockholder with respect to Shares subject to any Restricted Stock Unit unless and until the Shares are delivered in settlement of the Restricted Stock Unit.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Other Stock or Cash Based Awards; Dividend equivalents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Other Stock or Cash Based Awards</w:t>
      </w:r>
      <w:r>
        <w:rPr>
          <w:rFonts w:ascii="Times New Roman;Times;Serif" w:hAnsi="Times New Roman;Times;Serif"/>
          <w:b w:val="false"/>
          <w:i w:val="false"/>
          <w:caps w:val="false"/>
          <w:smallCaps w:val="false"/>
          <w:sz w:val="20"/>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Dividend Equivalents</w:t>
      </w:r>
      <w:r>
        <w:rPr>
          <w:rFonts w:ascii="Times New Roman;Times;Serif" w:hAnsi="Times New Roman;Times;Serif"/>
          <w:b w:val="false"/>
          <w:i w:val="false"/>
          <w:caps w:val="false"/>
          <w:smallCaps w:val="false"/>
          <w:sz w:val="20"/>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respect to which the Dividend Equivalents are paid and subject to other terms and conditions as set forth in the Award Agreement. Notwithstanding anything to the contrary herein, Dividend Equivalents with respect to an Award shall only be paid out to a Participant to the extent that the vesting conditions are subsequently satisfied. All such Dividend Equivalent payments will be made no later than March 15 of the calendar year following the calendar year in which the right to the Dividend Equivalent payment becomes nonforfeitable, unless determined otherwise by the Administrator or unless deferred in a manner intended to comply with Section 409A.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Adjustments for Changes in Common Stock</w:t>
        <w:br/>
        <w:t>and Certain Other Events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Equity Restructuring</w:t>
      </w:r>
      <w:r>
        <w:rPr>
          <w:rFonts w:ascii="Times New Roman;Times;Serif" w:hAnsi="Times New Roman;Times;Serif"/>
          <w:b w:val="false"/>
          <w:i w:val="false"/>
          <w:caps w:val="false"/>
          <w:smallCaps w:val="false"/>
          <w:sz w:val="20"/>
        </w:rPr>
        <w:t>. In connection with any Equity Restructuring, notwithstanding anything to the contrary in this Article VIII, the Administrator will equitably adjust each outstanding Award as it deems appropriate to reflect the Equity Restructuring, which may include (if applicable) adjusting the number and type of securities subject to each outstanding Award, adjusting the Award’s exercise price, grant price and/or applicable performance goals, granting new Awards to Participants, and/or making a cash payment to Participants. The adjustments provided under this Section 8.1 will be nondiscretionary and final and binding on the affected Participant and the Company; provided that the Administrator will determine whether an adjustment is equitable.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Corporate Transactions</w:t>
      </w:r>
      <w:r>
        <w:rPr>
          <w:rFonts w:ascii="Times New Roman;Times;Serif" w:hAnsi="Times New Roman;Times;Serif"/>
          <w:b w:val="false"/>
          <w:i w:val="false"/>
          <w:caps w:val="false"/>
          <w:smallCaps w:val="false"/>
          <w:sz w:val="20"/>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in connection with the occurrence of such transaction or event (any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provided, further, that Awards held by members of the Board will be deemed settled in Shares on or immediately prior to the applicable event if the Administrator takes action under this clause (a);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that such Award shall vest and, to the extent applicable, be exercisable as to all Shares covered thereby, notwithstanding anything to the contrary in the Plan or the provisions of such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that such Award be assumed by the successor or survivor corporation, or a parent or subsidiary thereof, or shall be substituted for by awards covering the stock of the successor or survivor corporation, or a parent or subsidiary thereof, or equivalent value thereof in cash, with appropriate adjustments as to the number and kind of shares and/or applicable exercise or purchase price, in all cases, as determined by the Administrator;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replace such Award with other rights or property selected by the Administrator; and/or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that the Award will terminate and cannot vest, be exercised or become payable after the applicable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Effect of a Change in Control</w:t>
      </w:r>
      <w:r>
        <w:rPr>
          <w:rFonts w:ascii="Times New Roman;Times;Serif" w:hAnsi="Times New Roman;Times;Serif"/>
          <w:b w:val="false"/>
          <w:i w:val="false"/>
          <w:caps w:val="false"/>
          <w:smallCaps w:val="false"/>
          <w:sz w:val="20"/>
        </w:rPr>
        <w:t>. Notwithstanding the provisions of Section 8.2, if a Change in Control occurs and a Participant’s Awards are not continued, converted, assumed, or replaced with a substantially similar award by (a) the Company, or (b) a successor entity or its parent or subsidiary (an “</w:t>
      </w:r>
      <w:r>
        <w:rPr>
          <w:rFonts w:ascii="Times New Roman;Times;Serif" w:hAnsi="Times New Roman;Times;Serif"/>
          <w:b/>
          <w:i/>
          <w:caps w:val="false"/>
          <w:smallCaps w:val="false"/>
          <w:sz w:val="20"/>
        </w:rPr>
        <w:t>Assumption</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Assumed</w:t>
      </w:r>
      <w:r>
        <w:rPr>
          <w:rFonts w:ascii="Times New Roman;Times;Serif" w:hAnsi="Times New Roman;Times;Serif"/>
          <w:b w:val="false"/>
          <w:i w:val="false"/>
          <w:caps w:val="false"/>
          <w:smallCaps w:val="false"/>
          <w:sz w:val="20"/>
        </w:rPr>
        <w:t>”),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An Award will be considered replaced with a substantially similar award if the Award is exchanged for an amount of cash or other property with a value equal to the amount that could have been obtained upon the settlement of such Award in such Change in Control (as determined by the Administrator), even if such cash or other property payable with respect to the unvested portion of such Award remains subject to similar vesting provisions following such Change in Control. Notwithstanding the foregoing, the Administrator will have full and final authority to determine whether an Assumption of an Award has occurred in connection with a Change in Control.</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Administrative Stand Still</w:t>
      </w:r>
      <w:r>
        <w:rPr>
          <w:rFonts w:ascii="Times New Roman;Times;Serif" w:hAnsi="Times New Roman;Times;Serif"/>
          <w:b w:val="false"/>
          <w:i w:val="false"/>
          <w:caps w:val="false"/>
          <w:smallCaps w:val="false"/>
          <w:sz w:val="20"/>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60 days before or after such transaction.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General Provisions Applicable to Awards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Designated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Documentation</w:t>
      </w:r>
      <w:r>
        <w:rPr>
          <w:rFonts w:ascii="Times New Roman;Times;Serif" w:hAnsi="Times New Roman;Times;Serif"/>
          <w:b w:val="false"/>
          <w:i w:val="false"/>
          <w:caps w:val="false"/>
          <w:smallCaps w:val="false"/>
          <w:sz w:val="20"/>
        </w:rPr>
        <w:t>. Each Award will be evidenced in an Award Agreement, which may be written or electronic, as the Administrator determines. Each Award may contain terms and conditions in addition to those set forth in the Plan (including vesting conditions, which may be based wholly or in part on the achievement of specified Performance Criteria).</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Discretion</w:t>
      </w:r>
      <w:r>
        <w:rPr>
          <w:rFonts w:ascii="Times New Roman;Times;Serif" w:hAnsi="Times New Roman;Times;Serif"/>
          <w:b w:val="false"/>
          <w:i w:val="false"/>
          <w:caps w:val="false"/>
          <w:smallCaps w:val="false"/>
          <w:sz w:val="20"/>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Termination of Status</w:t>
      </w:r>
      <w:r>
        <w:rPr>
          <w:rFonts w:ascii="Times New Roman;Times;Serif" w:hAnsi="Times New Roman;Times;Serif"/>
          <w:b w:val="false"/>
          <w:i w:val="false"/>
          <w:caps w:val="false"/>
          <w:smallCaps w:val="false"/>
          <w:sz w:val="20"/>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Each Participant must pay the Company or a Subsidiary, or make provision satisfactory to the Administrator for payment of, any taxes required by Applicable Law to be withheld in connection with such Participant’s Awards by the date of the event creating the tax liability. The Company or any Subsidiary may deduct an amount sufficient to satisfy such tax obligations based on the applicable statutory withholding rates (or such other rate as may be determined by the Company or a Subsidiary after considering any accounting consequences or costs) from any payment of any kind otherwise due to a Participant. In the absence of a contrary determination by the Company or a Subsidiary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on the date of delivery, (iii) subject to Section 9.10,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withholding rate in the applicable jurisdiction at the time of such withholding (or such other rate as may be required to avoid the liability classification of the applicable award under generally accepted accounting principles in the United States of America). Subject to Section 9.10,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Amendment of Award; Repricing</w:t>
      </w:r>
      <w:r>
        <w:rPr>
          <w:rFonts w:ascii="Times New Roman;Times;Serif" w:hAnsi="Times New Roman;Times;Serif"/>
          <w:b w:val="false"/>
          <w:i w:val="false"/>
          <w:caps w:val="false"/>
          <w:smallCaps w:val="false"/>
          <w:sz w:val="20"/>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Conditions on Delivery of Stock</w:t>
      </w:r>
      <w:r>
        <w:rPr>
          <w:rFonts w:ascii="Times New Roman;Times;Serif" w:hAnsi="Times New Roman;Times;Serif"/>
          <w:b w:val="false"/>
          <w:i w:val="false"/>
          <w:caps w:val="false"/>
          <w:smallCaps w:val="false"/>
          <w:sz w:val="20"/>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Acceleration</w:t>
      </w:r>
      <w:r>
        <w:rPr>
          <w:rFonts w:ascii="Times New Roman;Times;Serif" w:hAnsi="Times New Roman;Times;Serif"/>
          <w:b w:val="false"/>
          <w:i w:val="false"/>
          <w:caps w:val="false"/>
          <w:smallCaps w:val="false"/>
          <w:sz w:val="20"/>
        </w:rPr>
        <w:t>. The Administrator may at any time provide that any Award will become immediately vested and fully or partially exercisable, free of some or all restrictions or conditions, or otherwise fully or partially realizable.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Cash Settlement</w:t>
      </w:r>
      <w:r>
        <w:rPr>
          <w:rFonts w:ascii="Times New Roman;Times;Serif" w:hAnsi="Times New Roman;Times;Serif"/>
          <w:b w:val="false"/>
          <w:i w:val="false"/>
          <w:caps w:val="false"/>
          <w:smallCaps w:val="false"/>
          <w:sz w:val="20"/>
        </w:rPr>
        <w:t>. Without limiting the generality of any other provision of the Plan, the Administrator may provide, in an Award Agreement or subsequent to the grant of an Award, in its discretion, that any Award may be settled in cash, Shares or a combination thereof.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w:t>
      </w:r>
      <w:r>
        <w:rPr>
          <w:rFonts w:ascii="Times New Roman;Times;Serif" w:hAnsi="Times New Roman;Times;Serif"/>
          <w:b w:val="false"/>
          <w:i w:val="false"/>
          <w:caps w:val="false"/>
          <w:smallCaps w:val="false"/>
          <w:sz w:val="20"/>
          <w:u w:val="single"/>
        </w:rPr>
        <w:t>Broker-Assisted Sales</w:t>
      </w:r>
      <w:r>
        <w:rPr>
          <w:rFonts w:ascii="Times New Roman;Times;Serif" w:hAnsi="Times New Roman;Times;Serif"/>
          <w:b w:val="false"/>
          <w:i w:val="false"/>
          <w:caps w:val="false"/>
          <w:smallCaps w:val="false"/>
          <w:sz w:val="20"/>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Miscellaneous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No Right to Employment or Other Status</w:t>
      </w:r>
      <w:r>
        <w:rPr>
          <w:rFonts w:ascii="Times New Roman;Times;Serif" w:hAnsi="Times New Roman;Times;Serif"/>
          <w:b w:val="false"/>
          <w:i w:val="false"/>
          <w:caps w:val="false"/>
          <w:smallCaps w:val="false"/>
          <w:sz w:val="20"/>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 the right at any time to dismiss or otherwise terminate its relationship with a Participant free from any liability or claim under the Plan or any Award, except as expressly provided in an Award Agreement or in the Plan.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No Rights as Stockholder; Certificates</w:t>
      </w:r>
      <w:r>
        <w:rPr>
          <w:rFonts w:ascii="Times New Roman;Times;Serif" w:hAnsi="Times New Roman;Times;Serif"/>
          <w:b w:val="false"/>
          <w:i w:val="false"/>
          <w:caps w:val="false"/>
          <w:smallCaps w:val="false"/>
          <w:sz w:val="20"/>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Effective Date and Term of Plan</w:t>
      </w:r>
      <w:r>
        <w:rPr>
          <w:rFonts w:ascii="Times New Roman;Times;Serif" w:hAnsi="Times New Roman;Times;Serif"/>
          <w:b w:val="false"/>
          <w:i w:val="false"/>
          <w:caps w:val="false"/>
          <w:smallCaps w:val="false"/>
          <w:sz w:val="20"/>
        </w:rPr>
        <w:t>. Unless earlier terminated by the Board, the Plan will become effective on the date of the consummation of the transactions contemplated by the Business Combination Agreement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and will remain in effect until terminated by the Administrator in accordance with the Plan. Notwithstanding anything to the contrary in the Plan, an Incentive Stock Option may not be granted under the Plan after 10 years from the earlier of (i) the date the Board adopted the Plan or (ii) the date the Company’s stockholders approved the Plan. Notwithstanding anything to the contrary contained herein, if the Plan is not approved by the Company’s stockholders, the Plan will not become effective and no Awards will be granted under the Plan.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Amendment of Plan</w:t>
      </w:r>
      <w:r>
        <w:rPr>
          <w:rFonts w:ascii="Times New Roman;Times;Serif" w:hAnsi="Times New Roman;Times;Serif"/>
          <w:b w:val="false"/>
          <w:i w:val="false"/>
          <w:caps w:val="false"/>
          <w:smallCaps w:val="false"/>
          <w:sz w:val="20"/>
        </w:rPr>
        <w:t>. The Administrator may amend, suspend or terminate the Plan at any time; provided that no amendment to the Plan,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val="false"/>
          <w:i w:val="false"/>
          <w:caps w:val="false"/>
          <w:smallCaps w:val="false"/>
          <w:sz w:val="20"/>
          <w:u w:val="single"/>
        </w:rPr>
        <w:t>Provisions for Foreign Participants</w:t>
      </w:r>
      <w:r>
        <w:rPr>
          <w:rFonts w:ascii="Times New Roman;Times;Serif" w:hAnsi="Times New Roman;Times;Serif"/>
          <w:b w:val="false"/>
          <w:i w:val="false"/>
          <w:caps w:val="false"/>
          <w:smallCaps w:val="false"/>
          <w:sz w:val="20"/>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Separation from Service</w:t>
      </w:r>
      <w:r>
        <w:rPr>
          <w:rFonts w:ascii="Times New Roman;Times;Serif" w:hAnsi="Times New Roman;Times;Serif"/>
          <w:b w:val="false"/>
          <w:i w:val="false"/>
          <w:caps w:val="false"/>
          <w:smallCaps w:val="false"/>
          <w:sz w:val="20"/>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 Furthermore, notwithstanding any contrary provision of the Plan or any Award Agreement, any payment of “nonqualified deferred compensation” under the Plan that may be made in installments shall be treated as a right to receive a series of separate and distinct payments.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Payments to Specified Employees</w:t>
      </w:r>
      <w:r>
        <w:rPr>
          <w:rFonts w:ascii="Times New Roman;Times;Serif" w:hAnsi="Times New Roman;Times;Serif"/>
          <w:b w:val="false"/>
          <w:i w:val="false"/>
          <w:caps w:val="false"/>
          <w:smallCaps w:val="false"/>
          <w:sz w:val="20"/>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val="false"/>
          <w:i w:val="false"/>
          <w:caps w:val="false"/>
          <w:smallCaps w:val="false"/>
          <w:sz w:val="20"/>
          <w:u w:val="single"/>
        </w:rPr>
        <w:t>Limitations on Liability</w:t>
      </w:r>
      <w:r>
        <w:rPr>
          <w:rFonts w:ascii="Times New Roman;Times;Serif" w:hAnsi="Times New Roman;Times;Serif"/>
          <w:b w:val="false"/>
          <w:i w:val="false"/>
          <w:caps w:val="false"/>
          <w:smallCaps w:val="false"/>
          <w:sz w:val="20"/>
        </w:rPr>
        <w:t>. Notwithstanding any other provisions of the Plan, and to the fullest extent permitted by Applicable Laws and the Company's certificate of incorporation and bylaws, (a) no individual acting as a director, officer, other employee or agent of the Company or a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and (b)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Times;Serif" w:hAnsi="Times New Roman;Times;Serif"/>
          <w:b/>
          <w:i/>
          <w:caps w:val="false"/>
          <w:smallCaps w:val="false"/>
          <w:sz w:val="20"/>
        </w:rPr>
        <w:t>Data</w:t>
      </w:r>
      <w:r>
        <w:rPr>
          <w:rFonts w:ascii="Times New Roman;Times;Serif" w:hAnsi="Times New Roman;Times;Serif"/>
          <w:b w:val="false"/>
          <w:i w:val="false"/>
          <w:caps w:val="false"/>
          <w:smallCaps w:val="false"/>
          <w:sz w:val="20"/>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the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Plan and all Awards will be governed by and interpreted in accordance with the laws of the State of Delaware, disregarding any state’s choice-of-law principles requiring the application of a jurisdiction’s laws other than the State of Delaware.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w:t>
      </w:r>
      <w:r>
        <w:rPr>
          <w:rFonts w:ascii="Times New Roman;Times;Serif" w:hAnsi="Times New Roman;Times;Serif"/>
          <w:b w:val="false"/>
          <w:i w:val="false"/>
          <w:caps w:val="false"/>
          <w:smallCaps w:val="false"/>
          <w:sz w:val="20"/>
          <w:u w:val="single"/>
        </w:rPr>
        <w:t>Clawback Provisions</w:t>
      </w:r>
      <w:r>
        <w:rPr>
          <w:rFonts w:ascii="Times New Roman;Times;Serif" w:hAnsi="Times New Roman;Times;Serif"/>
          <w:b w:val="false"/>
          <w:i w:val="false"/>
          <w:caps w:val="false"/>
          <w:smallCaps w:val="false"/>
          <w:sz w:val="20"/>
        </w:rPr>
        <w:t>. All Awards (including, without limitation, any proceeds, gains or other economic benefit actually or constructively received by Participant upon any receipt or exercise of any Award or upon the receipt or sale of any Shares underlying the Award) shall be subject to the provisions of any clawback policy implemented by the Company, including, without limitation, the Company’s Policy for Recovery of Erroneously Awarded Compensation and any other clawback policy adopted to comply with Applicable Laws, as and to the extent set forth in such clawback policy or the Award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10.14 </w:t>
      </w:r>
      <w:r>
        <w:rPr>
          <w:rFonts w:ascii="Times New Roman;Times;Serif" w:hAnsi="Times New Roman;Times;Serif"/>
          <w:b w:val="false"/>
          <w:i w:val="false"/>
          <w:caps w:val="false"/>
          <w:smallCaps w:val="false"/>
          <w:sz w:val="20"/>
          <w:u w:val="single"/>
        </w:rPr>
        <w:t>Titles and Headings</w:t>
      </w:r>
      <w:r>
        <w:rPr>
          <w:rFonts w:ascii="Times New Roman;Times;Serif" w:hAnsi="Times New Roman;Times;Serif"/>
          <w:b w:val="false"/>
          <w:i w:val="false"/>
          <w:caps w:val="false"/>
          <w:smallCaps w:val="false"/>
          <w:sz w:val="20"/>
        </w:rPr>
        <w:t>. The titles and headings in the Plan are for convenience of reference only and, if there is any conflict, the Plan’s text, rather than such titles or headings, will control.</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w:t>
      </w:r>
      <w:r>
        <w:rPr>
          <w:rFonts w:ascii="Times New Roman;Times;Serif" w:hAnsi="Times New Roman;Times;Serif"/>
          <w:b w:val="false"/>
          <w:i w:val="false"/>
          <w:caps w:val="false"/>
          <w:smallCaps w:val="false"/>
          <w:sz w:val="20"/>
          <w:u w:val="single"/>
        </w:rPr>
        <w:t>Conformity to Laws</w:t>
      </w:r>
      <w:r>
        <w:rPr>
          <w:rFonts w:ascii="Times New Roman;Times;Serif" w:hAnsi="Times New Roman;Times;Serif"/>
          <w:b w:val="false"/>
          <w:i w:val="false"/>
          <w:caps w:val="false"/>
          <w:smallCaps w:val="false"/>
          <w:sz w:val="20"/>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10.16 </w:t>
      </w:r>
      <w:r>
        <w:rPr>
          <w:rFonts w:ascii="Times New Roman;Times;Serif" w:hAnsi="Times New Roman;Times;Serif"/>
          <w:b w:val="false"/>
          <w:i w:val="false"/>
          <w:caps w:val="false"/>
          <w:smallCaps w:val="false"/>
          <w:sz w:val="20"/>
          <w:u w:val="single"/>
        </w:rPr>
        <w:t>Relationship to Other Benefits</w:t>
      </w:r>
      <w:r>
        <w:rPr>
          <w:rFonts w:ascii="Times New Roman;Times;Serif" w:hAnsi="Times New Roman;Times;Serif"/>
          <w:b w:val="false"/>
          <w:i w:val="false"/>
          <w:caps w:val="false"/>
          <w:smallCaps w:val="false"/>
          <w:sz w:val="20"/>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b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 Plan, the following words and phrases will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 means the Board or a Committee to the extent that the Board’s powers or authority under the Plan have been delegated to such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caps w:val="false"/>
          <w:smallCaps w:val="false"/>
          <w:sz w:val="20"/>
        </w:rPr>
        <w:t>Applicable Laws</w:t>
      </w:r>
      <w:r>
        <w:rPr>
          <w:rFonts w:ascii="Times New Roman;Times;Serif" w:hAnsi="Times New Roman;Times;Serif"/>
          <w:b w:val="false"/>
          <w:i w:val="false"/>
          <w:caps w:val="false"/>
          <w:smallCaps w:val="false"/>
          <w:sz w:val="20"/>
        </w:rPr>
        <w:t>” means any applicable law, including without limitation: (a) provisions of the Code, the Securities Act, the Exchange Act and any rules or regulations thereunder; (b) corporate, securities, tax or other laws, statutes, rules, requirements or regulations, whether U.S. or non-U.S. federal, state or local; and (c) rules of any securities exchange or automated quotation system on which the Shares are listed, quoted or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means, individually or collectively, a grant under the Plan of Options, Stock Appreciation Rights, Restricted Stock, Restricted Stock Units, Dividend Equivalents, or Other Stock or Cash Based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means a written agreement evidencing an Award, which may be electronic, that contains such terms and conditions as the Administrator determines, consistent with and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means that certain Business Combination Agreement, dated as of August 13, 2025, by and among Bleichroeder Acquisition Corp. I, IPDX Merger Sub, Inc.,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means, in respect of a Participant, either (a) the definition of “Cause” contained in the Participant’s Award Agreement or an effective, written service or employment agreement between the Participant and the Company or a Subsidiary of the Company; or (b) if no such agreement exists or such agreement does not define Cause, then Cause shall mean (i) the Participant’s unauthorized use or disclosure of confidential information or trade secrets of the Company or any of its Subsidiaries or any material breach of a written agreement between the Participant and the Company or any of its Subsidiaries, including without limitation a material breach of any employment, confidentiality, non-compete, non-solicit or similar agreement; (ii) the Participant’s commission of, indictment for or the entry of a plea of guilty or nolo contendere by the Participant to, a felony under the laws of the United States or any state thereof or any crime involving dishonesty or moral turpitude (or any similar crime in any jurisdiction outside the United States); (iii) the Participant’s negligence or willful misconduct in the performance of the Participant’s duties or the Participant’s willful or repeated failure or refusal to substantially perform assigned duties; (iv) any act of fraud, embezzlement, material misappropriation or dishonesty committed by the Participant against the Company or any of its Subsidiaries; or (v) any acts, omissions or statements by a Participant which the Company determines to be materially detrimental or damaging to the reputation, operations, prospects or business relations of the Company or any of its Subsidiaries. The findings and decision of the Administrator with respect to any Cause determination will be final and binding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means and includes each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Times;Serif" w:hAnsi="Times New Roman;Times;Serif"/>
          <w:b/>
          <w:i/>
          <w:caps w:val="false"/>
          <w:smallCaps w:val="false"/>
          <w:sz w:val="20"/>
        </w:rPr>
        <w:t>Successor Entity</w:t>
      </w:r>
      <w:r>
        <w:rPr>
          <w:rFonts w:ascii="Times New Roman;Times;Serif" w:hAnsi="Times New Roman;Times;Serif"/>
          <w:b w:val="false"/>
          <w:i w:val="false"/>
          <w:caps w:val="false"/>
          <w:smallCaps w:val="false"/>
          <w:sz w:val="20"/>
        </w:rPr>
        <w:t>”)) directly or indirectly, at least a majority of the combined voting power of the Successor Entity’s outstanding voting securities immediately after the transaction,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after which no person or group beneficially owns voting securities representing 50% or more of the combined voting power of the Successor Entity;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(or portion thereof) if such transaction also constitutes a “change in control event,” as defined in Treasury Regulation Section 1.409A-3(i)(5).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and the regulations issued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of the Company,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Merlin, Inc., a Delaware corporation, or any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 “</w:t>
      </w:r>
      <w:r>
        <w:rPr>
          <w:rFonts w:ascii="Times New Roman;Times;Serif" w:hAnsi="Times New Roman;Times;Serif"/>
          <w:b/>
          <w:i/>
          <w:caps w:val="false"/>
          <w:smallCaps w:val="false"/>
          <w:sz w:val="20"/>
        </w:rPr>
        <w:t>Consultant</w:t>
      </w:r>
      <w:r>
        <w:rPr>
          <w:rFonts w:ascii="Times New Roman;Times;Serif" w:hAnsi="Times New Roman;Times;Serif"/>
          <w:b w:val="false"/>
          <w:i w:val="false"/>
          <w:caps w:val="false"/>
          <w:smallCaps w:val="false"/>
          <w:sz w:val="20"/>
        </w:rPr>
        <w:t>” means any consultant or advisor engaged by the Company or any of its Subsidiaries to render services to such entity, in each case that can be granted an Award that is eligible to be registered on a Form S-8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 “</w:t>
      </w:r>
      <w:r>
        <w:rPr>
          <w:rFonts w:ascii="Times New Roman;Times;Serif" w:hAnsi="Times New Roman;Times;Serif"/>
          <w:b/>
          <w:i/>
          <w:caps w:val="false"/>
          <w:smallCaps w:val="false"/>
          <w:sz w:val="20"/>
        </w:rPr>
        <w:t>Designated Beneficiary</w:t>
      </w:r>
      <w:r>
        <w:rPr>
          <w:rFonts w:ascii="Times New Roman;Times;Serif" w:hAnsi="Times New Roman;Times;Serif"/>
          <w:b w:val="false"/>
          <w:i w:val="false"/>
          <w:caps w:val="false"/>
          <w:smallCaps w:val="false"/>
          <w:sz w:val="20"/>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 “</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means a Board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 “</w:t>
      </w:r>
      <w:r>
        <w:rPr>
          <w:rFonts w:ascii="Times New Roman;Times;Serif" w:hAnsi="Times New Roman;Times;Serif"/>
          <w:b/>
          <w:i/>
          <w:caps w:val="false"/>
          <w:smallCaps w:val="false"/>
          <w:sz w:val="20"/>
        </w:rPr>
        <w:t>Disability</w:t>
      </w:r>
      <w:r>
        <w:rPr>
          <w:rFonts w:ascii="Times New Roman;Times;Serif" w:hAnsi="Times New Roman;Times;Serif"/>
          <w:b w:val="false"/>
          <w:i w:val="false"/>
          <w:caps w:val="false"/>
          <w:smallCaps w:val="false"/>
          <w:sz w:val="20"/>
        </w:rPr>
        <w:t>” means a permanent and total disability under Section 22(e)(3) of the Code,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 “</w:t>
      </w:r>
      <w:r>
        <w:rPr>
          <w:rFonts w:ascii="Times New Roman;Times;Serif" w:hAnsi="Times New Roman;Times;Serif"/>
          <w:b/>
          <w:i/>
          <w:caps w:val="false"/>
          <w:smallCaps w:val="false"/>
          <w:sz w:val="20"/>
        </w:rPr>
        <w:t>Dividend Equivalents</w:t>
      </w:r>
      <w:r>
        <w:rPr>
          <w:rFonts w:ascii="Times New Roman;Times;Serif" w:hAnsi="Times New Roman;Times;Serif"/>
          <w:b w:val="false"/>
          <w:i w:val="false"/>
          <w:caps w:val="false"/>
          <w:smallCaps w:val="false"/>
          <w:sz w:val="20"/>
        </w:rPr>
        <w:t>” means a right granted to a Participant under the Plan to receive the equivalent value (in cash or Shares) of dividends paid 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 “</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means any employee of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 “</w:t>
      </w:r>
      <w:r>
        <w:rPr>
          <w:rFonts w:ascii="Times New Roman;Times;Serif" w:hAnsi="Times New Roman;Times;Serif"/>
          <w:b/>
          <w:i/>
          <w:caps w:val="false"/>
          <w:smallCaps w:val="false"/>
          <w:sz w:val="20"/>
        </w:rPr>
        <w:t>Equity Restructuring</w:t>
      </w:r>
      <w:r>
        <w:rPr>
          <w:rFonts w:ascii="Times New Roman;Times;Serif" w:hAnsi="Times New Roman;Times;Serif"/>
          <w:b w:val="false"/>
          <w:i w:val="false"/>
          <w:caps w:val="false"/>
          <w:smallCaps w:val="false"/>
          <w:sz w:val="20"/>
        </w:rPr>
        <w:t>” means, as determined by the Administrator, a non-reciprocal transaction between the Company and its stockholders, such as a stock dividend, stock split, spin-off or recapitalization, or a large, 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 “</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means,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(c) without an established market for the Common Stock, the Administrator will determine the Fair Market Value in its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 “</w:t>
      </w:r>
      <w:r>
        <w:rPr>
          <w:rFonts w:ascii="Times New Roman;Times;Serif" w:hAnsi="Times New Roman;Times;Serif"/>
          <w:b/>
          <w:i/>
          <w:caps w:val="false"/>
          <w:smallCaps w:val="false"/>
          <w:sz w:val="20"/>
        </w:rPr>
        <w:t>Greater Than 10% Stockholder</w:t>
      </w:r>
      <w:r>
        <w:rPr>
          <w:rFonts w:ascii="Times New Roman;Times;Serif" w:hAnsi="Times New Roman;Times;Serif"/>
          <w:b w:val="false"/>
          <w:i w:val="false"/>
          <w:caps w:val="false"/>
          <w:smallCaps w:val="false"/>
          <w:sz w:val="20"/>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 “</w:t>
      </w:r>
      <w:r>
        <w:rPr>
          <w:rFonts w:ascii="Times New Roman;Times;Serif" w:hAnsi="Times New Roman;Times;Serif"/>
          <w:b/>
          <w:i/>
          <w:caps w:val="false"/>
          <w:smallCaps w:val="false"/>
          <w:sz w:val="20"/>
        </w:rPr>
        <w:t>Incentive Stock Option</w:t>
      </w:r>
      <w:r>
        <w:rPr>
          <w:rFonts w:ascii="Times New Roman;Times;Serif" w:hAnsi="Times New Roman;Times;Serif"/>
          <w:b w:val="false"/>
          <w:i w:val="false"/>
          <w:caps w:val="false"/>
          <w:smallCaps w:val="false"/>
          <w:sz w:val="20"/>
        </w:rPr>
        <w:t>” means an Option intended to qualify as an “incentive stock option” as defined in Section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 “</w:t>
      </w:r>
      <w:r>
        <w:rPr>
          <w:rFonts w:ascii="Times New Roman;Times;Serif" w:hAnsi="Times New Roman;Times;Serif"/>
          <w:b/>
          <w:i/>
          <w:caps w:val="false"/>
          <w:smallCaps w:val="false"/>
          <w:sz w:val="20"/>
        </w:rPr>
        <w:t>Non-Qualified Stock Option</w:t>
      </w:r>
      <w:r>
        <w:rPr>
          <w:rFonts w:ascii="Times New Roman;Times;Serif" w:hAnsi="Times New Roman;Times;Serif"/>
          <w:b w:val="false"/>
          <w:i w:val="false"/>
          <w:caps w:val="false"/>
          <w:smallCaps w:val="false"/>
          <w:sz w:val="20"/>
        </w:rPr>
        <w:t>” means an Option, or portion thereof, not intended or not qualifying as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means an option to purchase Shares, which will either be an Incentive Stock Option or a Non-Qualified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 “</w:t>
      </w:r>
      <w:r>
        <w:rPr>
          <w:rFonts w:ascii="Times New Roman;Times;Serif" w:hAnsi="Times New Roman;Times;Serif"/>
          <w:b/>
          <w:i/>
          <w:caps w:val="false"/>
          <w:smallCaps w:val="false"/>
          <w:sz w:val="20"/>
        </w:rPr>
        <w:t>Other Stock or Cash Based Awards</w:t>
      </w:r>
      <w:r>
        <w:rPr>
          <w:rFonts w:ascii="Times New Roman;Times;Serif" w:hAnsi="Times New Roman;Times;Serif"/>
          <w:b w:val="false"/>
          <w:i w:val="false"/>
          <w:caps w:val="false"/>
          <w:smallCaps w:val="false"/>
          <w:sz w:val="20"/>
        </w:rPr>
        <w:t>” means cash awards, awards of Shares, and other awards valued wholly or partially by referring to, or are otherwise based on, Shares or other property awarded to a Participant under Article VII.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 “</w:t>
      </w:r>
      <w:r>
        <w:rPr>
          <w:rFonts w:ascii="Times New Roman;Times;Serif" w:hAnsi="Times New Roman;Times;Serif"/>
          <w:b/>
          <w:i/>
          <w:caps w:val="false"/>
          <w:smallCaps w:val="false"/>
          <w:sz w:val="20"/>
        </w:rPr>
        <w:t>Overall Share Limit</w:t>
      </w:r>
      <w:r>
        <w:rPr>
          <w:rFonts w:ascii="Times New Roman;Times;Serif" w:hAnsi="Times New Roman;Times;Serif"/>
          <w:b w:val="false"/>
          <w:i w:val="false"/>
          <w:caps w:val="false"/>
          <w:smallCaps w:val="false"/>
          <w:sz w:val="20"/>
        </w:rPr>
        <w:t>” means the sum of (a) 14,943,232 Shares; (b) an annual increase on the first day of each calendar year beginning on and including January 1, 2027 and ending on and including January 1, 2036, equal to (i) a number of Shares equal to 5% of the aggregate number of Shares outstanding on the final day of the immediately preceding calendar year, or (ii) such smaller number of Shares as is determined by the Board and (c) any Shares subject to Prior Plan Awards that become available for issuance under the Plan on or following the Effective Date pursuant to Section 4.2 (which shall not exceed 7,353,451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means a Service Provider who has been granted an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 “</w:t>
      </w:r>
      <w:r>
        <w:rPr>
          <w:rFonts w:ascii="Times New Roman;Times;Serif" w:hAnsi="Times New Roman;Times;Serif"/>
          <w:b/>
          <w:i/>
          <w:caps w:val="false"/>
          <w:smallCaps w:val="false"/>
          <w:sz w:val="20"/>
        </w:rPr>
        <w:t>Performance Criteria</w:t>
      </w:r>
      <w:r>
        <w:rPr>
          <w:rFonts w:ascii="Times New Roman;Times;Serif" w:hAnsi="Times New Roman;Times;Serif"/>
          <w:b w:val="false"/>
          <w:i w:val="false"/>
          <w:caps w:val="false"/>
          <w:smallCaps w:val="false"/>
          <w:sz w:val="20"/>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this 2026 Incentive Award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 “</w:t>
      </w:r>
      <w:r>
        <w:rPr>
          <w:rFonts w:ascii="Times New Roman;Times;Serif" w:hAnsi="Times New Roman;Times;Serif"/>
          <w:b/>
          <w:i/>
          <w:caps w:val="false"/>
          <w:smallCaps w:val="false"/>
          <w:sz w:val="20"/>
        </w:rPr>
        <w:t>Prior Plan</w:t>
      </w:r>
      <w:r>
        <w:rPr>
          <w:rFonts w:ascii="Times New Roman;Times;Serif" w:hAnsi="Times New Roman;Times;Serif"/>
          <w:b w:val="false"/>
          <w:i w:val="false"/>
          <w:caps w:val="false"/>
          <w:smallCaps w:val="false"/>
          <w:sz w:val="20"/>
        </w:rPr>
        <w:t>” means the Merlin, Inc. 2018 Equity Incentive Plan,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 “</w:t>
      </w:r>
      <w:r>
        <w:rPr>
          <w:rFonts w:ascii="Times New Roman;Times;Serif" w:hAnsi="Times New Roman;Times;Serif"/>
          <w:b/>
          <w:i/>
          <w:caps w:val="false"/>
          <w:smallCaps w:val="false"/>
          <w:sz w:val="20"/>
        </w:rPr>
        <w:t>Prior Plan Award</w:t>
      </w:r>
      <w:r>
        <w:rPr>
          <w:rFonts w:ascii="Times New Roman;Times;Serif" w:hAnsi="Times New Roman;Times;Serif"/>
          <w:b w:val="false"/>
          <w:i w:val="false"/>
          <w:caps w:val="false"/>
          <w:smallCaps w:val="false"/>
          <w:sz w:val="20"/>
        </w:rPr>
        <w:t>” means an award outstanding under the Prior Plan as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 “</w:t>
      </w:r>
      <w:r>
        <w:rPr>
          <w:rFonts w:ascii="Times New Roman;Times;Serif" w:hAnsi="Times New Roman;Times;Serif"/>
          <w:b/>
          <w:i/>
          <w:caps w:val="false"/>
          <w:smallCaps w:val="false"/>
          <w:sz w:val="20"/>
        </w:rPr>
        <w:t>Restricted Stock</w:t>
      </w:r>
      <w:r>
        <w:rPr>
          <w:rFonts w:ascii="Times New Roman;Times;Serif" w:hAnsi="Times New Roman;Times;Serif"/>
          <w:b w:val="false"/>
          <w:i w:val="false"/>
          <w:caps w:val="false"/>
          <w:smallCaps w:val="false"/>
          <w:sz w:val="20"/>
        </w:rPr>
        <w:t>” means Shares awarded to a Participant under Article VI subject to certain vesting conditions and other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 “</w:t>
      </w:r>
      <w:r>
        <w:rPr>
          <w:rFonts w:ascii="Times New Roman;Times;Serif" w:hAnsi="Times New Roman;Times;Serif"/>
          <w:b/>
          <w:i/>
          <w:caps w:val="false"/>
          <w:smallCaps w:val="false"/>
          <w:sz w:val="20"/>
        </w:rPr>
        <w:t>Restricted Stock Unit</w:t>
      </w:r>
      <w:r>
        <w:rPr>
          <w:rFonts w:ascii="Times New Roman;Times;Serif" w:hAnsi="Times New Roman;Times;Serif"/>
          <w:b w:val="false"/>
          <w:i w:val="false"/>
          <w:caps w:val="false"/>
          <w:smallCaps w:val="false"/>
          <w:sz w:val="20"/>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 “</w:t>
      </w:r>
      <w:r>
        <w:rPr>
          <w:rFonts w:ascii="Times New Roman;Times;Serif" w:hAnsi="Times New Roman;Times;Serif"/>
          <w:b/>
          <w:i/>
          <w:caps w:val="false"/>
          <w:smallCaps w:val="false"/>
          <w:sz w:val="20"/>
        </w:rPr>
        <w:t>Rule 16b-3</w:t>
      </w:r>
      <w:r>
        <w:rPr>
          <w:rFonts w:ascii="Times New Roman;Times;Serif" w:hAnsi="Times New Roman;Times;Serif"/>
          <w:b w:val="false"/>
          <w:i w:val="false"/>
          <w:caps w:val="false"/>
          <w:smallCaps w:val="false"/>
          <w:sz w:val="20"/>
        </w:rPr>
        <w:t>” means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 “</w:t>
      </w:r>
      <w:r>
        <w:rPr>
          <w:rFonts w:ascii="Times New Roman;Times;Serif" w:hAnsi="Times New Roman;Times;Serif"/>
          <w:b/>
          <w:i/>
          <w:caps w:val="false"/>
          <w:smallCaps w:val="false"/>
          <w:sz w:val="20"/>
        </w:rPr>
        <w:t>Section 409A</w:t>
      </w:r>
      <w:r>
        <w:rPr>
          <w:rFonts w:ascii="Times New Roman;Times;Serif" w:hAnsi="Times New Roman;Times;Serif"/>
          <w:b w:val="false"/>
          <w:i w:val="false"/>
          <w:caps w:val="false"/>
          <w:smallCaps w:val="false"/>
          <w:sz w:val="20"/>
        </w:rPr>
        <w:t>” means Section 409A of the Code and all regulations, guidance, compliance programs and other interpretative authority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 “</w:t>
      </w:r>
      <w:r>
        <w:rPr>
          <w:rFonts w:ascii="Times New Roman;Times;Serif" w:hAnsi="Times New Roman;Times;Serif"/>
          <w:b/>
          <w:i/>
          <w:caps w:val="false"/>
          <w:smallCaps w:val="false"/>
          <w:sz w:val="20"/>
        </w:rPr>
        <w:t>Service Provider</w:t>
      </w:r>
      <w:r>
        <w:rPr>
          <w:rFonts w:ascii="Times New Roman;Times;Serif" w:hAnsi="Times New Roman;Times;Serif"/>
          <w:b w:val="false"/>
          <w:i w:val="false"/>
          <w:caps w:val="false"/>
          <w:smallCaps w:val="false"/>
          <w:sz w:val="20"/>
        </w:rPr>
        <w:t>” means an Employee, Consultant or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11.39 “</w:t>
      </w:r>
      <w:r>
        <w:rPr>
          <w:rFonts w:ascii="Times New Roman;Times;Serif" w:hAnsi="Times New Roman;Times;Serif"/>
          <w:b/>
          <w:i/>
          <w:caps w:val="false"/>
          <w:smallCaps w:val="false"/>
          <w:sz w:val="20"/>
        </w:rPr>
        <w:t>Share</w:t>
      </w:r>
      <w:r>
        <w:rPr>
          <w:rFonts w:ascii="Times New Roman;Times;Serif" w:hAnsi="Times New Roman;Times;Serif"/>
          <w:b w:val="false"/>
          <w:i w:val="false"/>
          <w:caps w:val="false"/>
          <w:smallCaps w:val="false"/>
          <w:sz w:val="20"/>
        </w:rPr>
        <w:t>” means a share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 “</w:t>
      </w:r>
      <w:r>
        <w:rPr>
          <w:rFonts w:ascii="Times New Roman;Times;Serif" w:hAnsi="Times New Roman;Times;Serif"/>
          <w:b/>
          <w:i/>
          <w:caps w:val="false"/>
          <w:smallCaps w:val="false"/>
          <w:sz w:val="20"/>
        </w:rPr>
        <w:t>Stock Appreciation Right</w:t>
      </w:r>
      <w:r>
        <w:rPr>
          <w:rFonts w:ascii="Times New Roman;Times;Serif" w:hAnsi="Times New Roman;Times;Serif"/>
          <w:b w:val="false"/>
          <w:i w:val="false"/>
          <w:caps w:val="false"/>
          <w:smallCaps w:val="false"/>
          <w:sz w:val="20"/>
        </w:rPr>
        <w:t>” means a stock appreciation right granted under Article 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 “</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 “</w:t>
      </w:r>
      <w:r>
        <w:rPr>
          <w:rFonts w:ascii="Times New Roman;Times;Serif" w:hAnsi="Times New Roman;Times;Serif"/>
          <w:b/>
          <w:i/>
          <w:caps w:val="false"/>
          <w:smallCaps w:val="false"/>
          <w:sz w:val="20"/>
        </w:rPr>
        <w:t>Substitute Awards</w:t>
      </w:r>
      <w:r>
        <w:rPr>
          <w:rFonts w:ascii="Times New Roman;Times;Serif" w:hAnsi="Times New Roman;Times;Serif"/>
          <w:b w:val="false"/>
          <w:i w:val="false"/>
          <w:caps w:val="false"/>
          <w:smallCaps w:val="false"/>
          <w:sz w:val="20"/>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 “</w:t>
      </w:r>
      <w:r>
        <w:rPr>
          <w:rFonts w:ascii="Times New Roman;Times;Serif" w:hAnsi="Times New Roman;Times;Serif"/>
          <w:b/>
          <w:i/>
          <w:caps w:val="false"/>
          <w:smallCaps w:val="false"/>
          <w:sz w:val="20"/>
        </w:rPr>
        <w:t>Termination of Service</w:t>
      </w:r>
      <w:r>
        <w:rPr>
          <w:rFonts w:ascii="Times New Roman;Times;Serif" w:hAnsi="Times New Roman;Times;Serif"/>
          <w:b w:val="false"/>
          <w:i w:val="false"/>
          <w:caps w:val="false"/>
          <w:smallCaps w:val="false"/>
          <w:sz w:val="20"/>
        </w:rPr>
        <w:t>” means the date the Participant ceases to be a Service Provider.</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 * *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p>
      <w:pPr>
        <w:pStyle w:val="TextBody"/>
        <w:bidi w:val="0"/>
        <w:ind w:left="0" w:right="0" w:hanging="0"/>
        <w:jc w:val="left"/>
        <w:rPr>
          <w:bdr w:val="single" w:sz="12" w:space="1" w:color="000000"/>
        </w:rPr>
      </w:pPr>
      <w:r>
        <w:rPr>
          <w:bdr w:val="single" w:sz="12" w:space="1" w:color="000000"/>
        </w:rPr>
        <w:t> </w:t>
      </w:r>
    </w:p>
    <w:p>
      <w:pPr>
        <w:pStyle w:val="TextBody"/>
        <w:bidi w:val="0"/>
        <w:ind w:left="0" w:right="0" w:hanging="0"/>
        <w:jc w:val="right"/>
        <w:rPr>
          <w:b/>
        </w:rPr>
      </w:pPr>
      <w:bookmarkStart w:id="54" w:name="ea028257401ex10-6.htm"/>
      <w:bookmarkStart w:id="55" w:name="ksea028257401ex106"/>
      <w:bookmarkEnd w:id="54"/>
      <w:bookmarkEnd w:id="55"/>
      <w:r>
        <w:rPr>
          <w:b/>
        </w:rPr>
        <w:t>Exhibit 10.6</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INCENTIVE AWARD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Merlin,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granted to the participant listed below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the stock option (the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described in this Stock Option Grant Notice (the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subject to the terms and conditions of the Merlin, Inc. 2026 Incentive Award Plan (as amended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xml:space="preserve">”) and the Stock Option Agreement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both of which are incorporated into this Grant Notice by reference. Capitalized terms not specifically defined in this Grant Notice or the Agreement have the meanings given to them in the Plan.</w:t>
      </w:r>
    </w:p>
    <w:p>
      <w:pPr>
        <w:pStyle w:val="TextBody"/>
        <w:bidi w:val="0"/>
        <w:spacing w:before="0" w:after="0"/>
        <w:ind w:left="0" w:right="0" w:firstLine="72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3125"/>
        <w:gridCol w:w="5285"/>
      </w:tblGrid>
      <w:tr>
        <w:trPr/>
        <w:tc>
          <w:tcPr>
            <w:tcW w:w="3125" w:type="dxa"/>
            <w:tcBorders/>
            <w:vAlign w:val="center"/>
          </w:tcPr>
          <w:p>
            <w:pPr>
              <w:pStyle w:val="TableContents"/>
              <w:bidi w:val="0"/>
              <w:spacing w:before="0" w:after="283"/>
              <w:jc w:val="left"/>
              <w:rPr>
                <w:b/>
              </w:rPr>
            </w:pPr>
            <w:r>
              <w:rPr>
                <w:b/>
              </w:rPr>
              <w:t>Participant:</w:t>
            </w:r>
          </w:p>
        </w:tc>
        <w:tc>
          <w:tcPr>
            <w:tcW w:w="5285" w:type="dxa"/>
            <w:tcBorders/>
            <w:vAlign w:val="center"/>
          </w:tcPr>
          <w:p>
            <w:pPr>
              <w:pStyle w:val="TableContents"/>
              <w:bidi w:val="0"/>
              <w:spacing w:before="0" w:after="283"/>
              <w:jc w:val="left"/>
              <w:rPr/>
            </w:pPr>
            <w:r>
              <w:rPr/>
              <w:t>[To be specified]</w:t>
            </w:r>
          </w:p>
        </w:tc>
      </w:tr>
      <w:tr>
        <w:trPr/>
        <w:tc>
          <w:tcPr>
            <w:tcW w:w="3125" w:type="dxa"/>
            <w:tcBorders/>
            <w:vAlign w:val="center"/>
          </w:tcPr>
          <w:p>
            <w:pPr>
              <w:pStyle w:val="TableContents"/>
              <w:bidi w:val="0"/>
              <w:spacing w:before="0" w:after="283"/>
              <w:jc w:val="left"/>
              <w:rPr>
                <w:b/>
              </w:rPr>
            </w:pPr>
            <w:r>
              <w:rPr>
                <w:b/>
              </w:rPr>
              <w:t>Grant Date:</w:t>
            </w:r>
          </w:p>
        </w:tc>
        <w:tc>
          <w:tcPr>
            <w:tcW w:w="5285" w:type="dxa"/>
            <w:tcBorders/>
            <w:vAlign w:val="center"/>
          </w:tcPr>
          <w:p>
            <w:pPr>
              <w:pStyle w:val="TableContents"/>
              <w:bidi w:val="0"/>
              <w:spacing w:before="0" w:after="283"/>
              <w:jc w:val="left"/>
              <w:rPr/>
            </w:pPr>
            <w:r>
              <w:rPr/>
              <w:t>[To be specified]</w:t>
            </w:r>
          </w:p>
        </w:tc>
      </w:tr>
      <w:tr>
        <w:trPr/>
        <w:tc>
          <w:tcPr>
            <w:tcW w:w="3125" w:type="dxa"/>
            <w:tcBorders/>
            <w:vAlign w:val="center"/>
          </w:tcPr>
          <w:p>
            <w:pPr>
              <w:pStyle w:val="TableContents"/>
              <w:bidi w:val="0"/>
              <w:spacing w:before="0" w:after="283"/>
              <w:jc w:val="left"/>
              <w:rPr>
                <w:b/>
              </w:rPr>
            </w:pPr>
            <w:r>
              <w:rPr>
                <w:b/>
              </w:rPr>
              <w:t>Exercise Price per Share:</w:t>
            </w:r>
          </w:p>
        </w:tc>
        <w:tc>
          <w:tcPr>
            <w:tcW w:w="5285" w:type="dxa"/>
            <w:tcBorders/>
            <w:vAlign w:val="center"/>
          </w:tcPr>
          <w:p>
            <w:pPr>
              <w:pStyle w:val="TableContents"/>
              <w:bidi w:val="0"/>
              <w:spacing w:before="0" w:after="283"/>
              <w:jc w:val="left"/>
              <w:rPr/>
            </w:pPr>
            <w:r>
              <w:rPr/>
              <w:t>[To be specified]</w:t>
            </w:r>
          </w:p>
        </w:tc>
      </w:tr>
      <w:tr>
        <w:trPr/>
        <w:tc>
          <w:tcPr>
            <w:tcW w:w="3125" w:type="dxa"/>
            <w:tcBorders/>
            <w:vAlign w:val="center"/>
          </w:tcPr>
          <w:p>
            <w:pPr>
              <w:pStyle w:val="TableContents"/>
              <w:bidi w:val="0"/>
              <w:spacing w:before="0" w:after="283"/>
              <w:jc w:val="left"/>
              <w:rPr>
                <w:b/>
              </w:rPr>
            </w:pPr>
            <w:r>
              <w:rPr>
                <w:b/>
              </w:rPr>
              <w:t>Shares Subject to the Option:</w:t>
            </w:r>
          </w:p>
        </w:tc>
        <w:tc>
          <w:tcPr>
            <w:tcW w:w="5285" w:type="dxa"/>
            <w:tcBorders/>
            <w:vAlign w:val="center"/>
          </w:tcPr>
          <w:p>
            <w:pPr>
              <w:pStyle w:val="TableContents"/>
              <w:bidi w:val="0"/>
              <w:spacing w:before="0" w:after="283"/>
              <w:jc w:val="left"/>
              <w:rPr/>
            </w:pPr>
            <w:r>
              <w:rPr/>
              <w:t>[To be specified]</w:t>
            </w:r>
          </w:p>
        </w:tc>
      </w:tr>
      <w:tr>
        <w:trPr/>
        <w:tc>
          <w:tcPr>
            <w:tcW w:w="3125" w:type="dxa"/>
            <w:tcBorders/>
            <w:vAlign w:val="center"/>
          </w:tcPr>
          <w:p>
            <w:pPr>
              <w:pStyle w:val="TableContents"/>
              <w:bidi w:val="0"/>
              <w:spacing w:before="0" w:after="283"/>
              <w:jc w:val="left"/>
              <w:rPr>
                <w:b/>
              </w:rPr>
            </w:pPr>
            <w:r>
              <w:rPr>
                <w:b/>
              </w:rPr>
              <w:t>Final Expiration Date:</w:t>
            </w:r>
          </w:p>
        </w:tc>
        <w:tc>
          <w:tcPr>
            <w:tcW w:w="5285" w:type="dxa"/>
            <w:tcBorders/>
            <w:vAlign w:val="center"/>
          </w:tcPr>
          <w:p>
            <w:pPr>
              <w:pStyle w:val="TableContents"/>
              <w:bidi w:val="0"/>
              <w:spacing w:before="0" w:after="283"/>
              <w:jc w:val="left"/>
              <w:rPr/>
            </w:pPr>
            <w:r>
              <w:rPr/>
              <w:t>[To be specified]</w:t>
            </w:r>
          </w:p>
        </w:tc>
      </w:tr>
      <w:tr>
        <w:trPr/>
        <w:tc>
          <w:tcPr>
            <w:tcW w:w="3125" w:type="dxa"/>
            <w:tcBorders/>
            <w:vAlign w:val="center"/>
          </w:tcPr>
          <w:p>
            <w:pPr>
              <w:pStyle w:val="TableContents"/>
              <w:bidi w:val="0"/>
              <w:spacing w:before="0" w:after="283"/>
              <w:jc w:val="left"/>
              <w:rPr>
                <w:b/>
              </w:rPr>
            </w:pPr>
            <w:r>
              <w:rPr>
                <w:b/>
              </w:rPr>
              <w:t>Vesting Commencement Date:</w:t>
            </w:r>
          </w:p>
        </w:tc>
        <w:tc>
          <w:tcPr>
            <w:tcW w:w="5285" w:type="dxa"/>
            <w:tcBorders/>
            <w:vAlign w:val="center"/>
          </w:tcPr>
          <w:p>
            <w:pPr>
              <w:pStyle w:val="TableContents"/>
              <w:bidi w:val="0"/>
              <w:spacing w:before="0" w:after="283"/>
              <w:jc w:val="left"/>
              <w:rPr/>
            </w:pPr>
            <w:r>
              <w:rPr/>
              <w:t>[To be specified]</w:t>
            </w:r>
          </w:p>
        </w:tc>
      </w:tr>
      <w:tr>
        <w:trPr/>
        <w:tc>
          <w:tcPr>
            <w:tcW w:w="3125" w:type="dxa"/>
            <w:tcBorders/>
            <w:vAlign w:val="center"/>
          </w:tcPr>
          <w:p>
            <w:pPr>
              <w:pStyle w:val="TableContents"/>
              <w:bidi w:val="0"/>
              <w:spacing w:before="0" w:after="283"/>
              <w:jc w:val="left"/>
              <w:rPr>
                <w:b/>
              </w:rPr>
            </w:pPr>
            <w:r>
              <w:rPr>
                <w:b/>
              </w:rPr>
              <w:t>Vesting Schedule:</w:t>
            </w:r>
          </w:p>
        </w:tc>
        <w:tc>
          <w:tcPr>
            <w:tcW w:w="5285" w:type="dxa"/>
            <w:tcBorders/>
            <w:vAlign w:val="center"/>
          </w:tcPr>
          <w:p>
            <w:pPr>
              <w:pStyle w:val="TableContents"/>
              <w:bidi w:val="0"/>
              <w:spacing w:before="0" w:after="283"/>
              <w:jc w:val="left"/>
              <w:rPr/>
            </w:pPr>
            <w:r>
              <w:rPr/>
              <w:t>[To be specified]</w:t>
            </w:r>
          </w:p>
        </w:tc>
      </w:tr>
      <w:tr>
        <w:trPr/>
        <w:tc>
          <w:tcPr>
            <w:tcW w:w="3125" w:type="dxa"/>
            <w:tcBorders/>
            <w:vAlign w:val="center"/>
          </w:tcPr>
          <w:p>
            <w:pPr>
              <w:pStyle w:val="TableContents"/>
              <w:bidi w:val="0"/>
              <w:spacing w:before="0" w:after="283"/>
              <w:jc w:val="left"/>
              <w:rPr>
                <w:b/>
              </w:rPr>
            </w:pPr>
            <w:r>
              <w:rPr>
                <w:b/>
              </w:rPr>
              <w:t>Type of Option</w:t>
            </w:r>
          </w:p>
        </w:tc>
        <w:tc>
          <w:tcPr>
            <w:tcW w:w="5285" w:type="dxa"/>
            <w:tcBorders/>
            <w:vAlign w:val="center"/>
          </w:tcPr>
          <w:p>
            <w:pPr>
              <w:pStyle w:val="TableContents"/>
              <w:bidi w:val="0"/>
              <w:spacing w:before="0" w:after="283"/>
              <w:jc w:val="left"/>
              <w:rPr/>
            </w:pPr>
            <w:r>
              <w:rPr/>
              <w:t>[Incentive Stock Option]/[Non-Qualified Stock Option]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(whether in writing, electronically or otherwise) the Option,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pStyle w:val="TextBody"/>
        <w:bidi w:val="0"/>
        <w:spacing w:before="0" w:after="0"/>
        <w:ind w:left="0" w:right="0" w:firstLine="720"/>
        <w:jc w:val="both"/>
        <w:rPr>
          <w:caps w:val="false"/>
          <w:smallCaps w:val="false"/>
        </w:rPr>
      </w:pPr>
      <w:r>
        <w:rPr>
          <w:caps w:val="false"/>
          <w:smallCaps w:val="false"/>
        </w:rPr>
        <w:t> </w:t>
      </w:r>
    </w:p>
    <w:tbl>
      <w:tblPr>
        <w:tblW w:w="3549" w:type="dxa"/>
        <w:jc w:val="left"/>
        <w:tblInd w:w="0" w:type="dxa"/>
        <w:tblLayout w:type="fixed"/>
        <w:tblCellMar>
          <w:top w:w="0" w:type="dxa"/>
          <w:left w:w="0" w:type="dxa"/>
          <w:bottom w:w="0" w:type="dxa"/>
          <w:right w:w="0" w:type="dxa"/>
        </w:tblCellMar>
      </w:tblPr>
      <w:tblGrid>
        <w:gridCol w:w="1607"/>
        <w:gridCol w:w="62"/>
        <w:gridCol w:w="60"/>
        <w:gridCol w:w="1820"/>
      </w:tblGrid>
      <w:tr>
        <w:trPr/>
        <w:tc>
          <w:tcPr>
            <w:tcW w:w="1669" w:type="dxa"/>
            <w:gridSpan w:val="2"/>
            <w:tcBorders/>
            <w:vAlign w:val="center"/>
          </w:tcPr>
          <w:p>
            <w:pPr>
              <w:pStyle w:val="TableContents"/>
              <w:bidi w:val="0"/>
              <w:spacing w:before="0" w:after="283"/>
              <w:jc w:val="left"/>
              <w:rPr>
                <w:b/>
              </w:rPr>
            </w:pPr>
            <w:r>
              <w:rPr>
                <w:b/>
              </w:rPr>
              <w:t>MERLIN, INC.</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b/>
              </w:rPr>
            </w:pPr>
            <w:r>
              <w:rPr>
                <w:b/>
              </w:rPr>
              <w:t>PARTICIPANT</w:t>
            </w:r>
          </w:p>
        </w:tc>
      </w:tr>
      <w:tr>
        <w:trPr/>
        <w:tc>
          <w:tcPr>
            <w:tcW w:w="16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r>
      <w:tr>
        <w:trPr/>
        <w:tc>
          <w:tcPr>
            <w:tcW w:w="1607" w:type="dxa"/>
            <w:tcBorders/>
            <w:vAlign w:val="center"/>
          </w:tcPr>
          <w:p>
            <w:pPr>
              <w:pStyle w:val="TableContents"/>
              <w:bidi w:val="0"/>
              <w:spacing w:before="0" w:after="283"/>
              <w:jc w:val="left"/>
              <w:rPr/>
            </w:pPr>
            <w:r>
              <w:rPr/>
              <w:t>By:</w:t>
            </w:r>
          </w:p>
        </w:tc>
        <w:tc>
          <w:tcPr>
            <w:tcW w:w="6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07" w:type="dxa"/>
            <w:tcBorders/>
            <w:vAlign w:val="center"/>
          </w:tcPr>
          <w:p>
            <w:pPr>
              <w:pStyle w:val="TableContents"/>
              <w:bidi w:val="0"/>
              <w:spacing w:before="0" w:after="283"/>
              <w:jc w:val="left"/>
              <w:rPr/>
            </w:pPr>
            <w:r>
              <w:rPr/>
              <w:t>Name:</w:t>
            </w:r>
          </w:p>
        </w:tc>
        <w:tc>
          <w:tcPr>
            <w:tcW w:w="6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[Participant Name]</w:t>
            </w:r>
          </w:p>
        </w:tc>
      </w:tr>
      <w:tr>
        <w:trPr/>
        <w:tc>
          <w:tcPr>
            <w:tcW w:w="1607" w:type="dxa"/>
            <w:tcBorders/>
            <w:vAlign w:val="center"/>
          </w:tcPr>
          <w:p>
            <w:pPr>
              <w:pStyle w:val="TableContents"/>
              <w:bidi w:val="0"/>
              <w:spacing w:before="0" w:after="283"/>
              <w:jc w:val="left"/>
              <w:rPr/>
            </w:pPr>
            <w:r>
              <w:rPr/>
              <w:t>Title:</w:t>
            </w:r>
          </w:p>
        </w:tc>
        <w:tc>
          <w:tcPr>
            <w:tcW w:w="6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STOCK OPTION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specifically defined in this Agreement have the meanings specified in the Grant Notice or, if not defined in the Grant Notice, in the Plan.</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w:t>
        <w:br/>
        <w:t>GENERAL</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Grant of Option</w:t>
      </w:r>
      <w:r>
        <w:rPr>
          <w:rFonts w:ascii="Times New Roman;Times;Serif" w:hAnsi="Times New Roman;Times;Serif"/>
          <w:b w:val="false"/>
          <w:i w:val="false"/>
          <w:caps w:val="false"/>
          <w:smallCaps w:val="false"/>
          <w:sz w:val="20"/>
        </w:rPr>
        <w:t>. The Company has granted to Participant the Option effective as of the grant date set forth in the Grant Notice (the “</w:t>
      </w:r>
      <w:r>
        <w:rPr>
          <w:rFonts w:ascii="Times New Roman;Times;Serif" w:hAnsi="Times New Roman;Times;Serif"/>
          <w:b/>
          <w:i/>
          <w:caps w:val="false"/>
          <w:smallCaps w:val="false"/>
          <w:sz w:val="20"/>
        </w:rPr>
        <w:t>Grant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Incorporation of Terms of Plan</w:t>
      </w:r>
      <w:r>
        <w:rPr>
          <w:rFonts w:ascii="Times New Roman;Times;Serif" w:hAnsi="Times New Roman;Times;Serif"/>
          <w:b w:val="false"/>
          <w:i w:val="false"/>
          <w:caps w:val="false"/>
          <w:smallCaps w:val="false"/>
          <w:sz w:val="20"/>
        </w:rPr>
        <w:t>. The Option is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PERIOD OF EXERCISABILITY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Commencement of Exercisability</w:t>
      </w:r>
      <w:r>
        <w:rPr>
          <w:rFonts w:ascii="Times New Roman;Times;Serif" w:hAnsi="Times New Roman;Times;Serif"/>
          <w:b w:val="false"/>
          <w:i w:val="false"/>
          <w:caps w:val="false"/>
          <w:smallCaps w:val="false"/>
          <w:sz w:val="20"/>
        </w:rPr>
        <w:t>. The Option will vest and become exercisable according to the vesting schedule in the Grant Notice (the “</w:t>
      </w:r>
      <w:r>
        <w:rPr>
          <w:rFonts w:ascii="Times New Roman;Times;Serif" w:hAnsi="Times New Roman;Times;Serif"/>
          <w:b/>
          <w:i/>
          <w:caps w:val="false"/>
          <w:smallCaps w:val="false"/>
          <w:sz w:val="20"/>
        </w:rPr>
        <w:t>Vesting Schedule</w:t>
      </w:r>
      <w:r>
        <w:rPr>
          <w:rFonts w:ascii="Times New Roman;Times;Serif" w:hAnsi="Times New Roman;Times;Serif"/>
          <w:b w:val="false"/>
          <w:i w:val="false"/>
          <w:caps w:val="false"/>
          <w:smallCaps w:val="false"/>
          <w:sz w:val="20"/>
        </w:rPr>
        <w:t>”) except that any fraction of a Share as to which the Option would be vested or exercisable will be accumulated and will vest and become exercisable only when a whole Share has accumulated. The Option will immediately expire and be forfeited as to any portion that is not vested and exercisable as of Participant’s Termination of Service for any reason, except as otherwise determined by the Administrator or provided in a binding written agreement between Participant and the Company (after taking into consideration any accelerated vesting and exercisability which may occur in connection with such Termination of Service, including under the Company’s Executive Severance Plan, if applicable).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Duration of Exercisability</w:t>
      </w:r>
      <w:r>
        <w:rPr>
          <w:rFonts w:ascii="Times New Roman;Times;Serif" w:hAnsi="Times New Roman;Times;Serif"/>
          <w:b w:val="false"/>
          <w:i w:val="false"/>
          <w:caps w:val="false"/>
          <w:smallCaps w:val="false"/>
          <w:sz w:val="20"/>
        </w:rPr>
        <w:t>. The Vesting Schedule is cumulative. Any portion of the Option which vests and becomes exercisable will remain vested and exercisable until the Option expires. The Option will be forfeited immediately upon its expiration.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Expiration of Option</w:t>
      </w:r>
      <w:r>
        <w:rPr>
          <w:rFonts w:ascii="Times New Roman;Times;Serif" w:hAnsi="Times New Roman;Times;Serif"/>
          <w:b w:val="false"/>
          <w:i w:val="false"/>
          <w:caps w:val="false"/>
          <w:smallCaps w:val="false"/>
          <w:sz w:val="20"/>
        </w:rPr>
        <w:t>. The Option may not be exercised to any extent by anyone after, and will expire on, the first of the following to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final expiration date in the Grant Notice; provided, however, such final expiration date may be extended pursuant to Section 5.3 of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the Administrator may otherwise approve, the expiration of three months from the date of Participant’s Termination of Service, unless Participant’s Termination of Service is for Cause or by reason of Participant’s death or Disability;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the Administrator may otherwise approve, the expiration of one year from the date of Participant’s Termination of Service by reason of Participant’s death or Disability;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the Administrator may otherwise approve, Participant’s Termination of Service for Cause.</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EXERCISE OF OPTION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Person Eligible to Exercise</w:t>
      </w:r>
      <w:r>
        <w:rPr>
          <w:rFonts w:ascii="Times New Roman;Times;Serif" w:hAnsi="Times New Roman;Times;Serif"/>
          <w:b w:val="false"/>
          <w:i w:val="false"/>
          <w:caps w:val="false"/>
          <w:smallCaps w:val="false"/>
          <w:sz w:val="20"/>
        </w:rPr>
        <w:t>. During Participant’s lifetime, only Participant may exercise the Option. After Participant’s death, any exercisable portion of the Option may, prior to the time the Option expires, be exercised by Participant’s Designated Beneficiary as provided in the Plan.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Partial Exercise</w:t>
      </w:r>
      <w:r>
        <w:rPr>
          <w:rFonts w:ascii="Times New Roman;Times;Serif" w:hAnsi="Times New Roman;Times;Serif"/>
          <w:b w:val="false"/>
          <w:i w:val="false"/>
          <w:caps w:val="false"/>
          <w:smallCaps w:val="false"/>
          <w:sz w:val="20"/>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Tax Withholding; 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3.3(b) and 3.3(c), payment of the exercise price and withholding tax obligations with respect to the Option may be by any of the following, or a combination thereof, as determined by the Company (or, if Participant is subject to Section 16 of the Exchange Act, the Administrator):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Cash or check;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whole or in part by delivery of Shares, including Shares delivered by attestation and Shares retained from the Option creating the tax obligation, valued at their Fair Market Value on the date of delivery;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Section 9.10 of the Plan,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exercise of the Option, and that the broker has been directed to deliver promptly to the Company funds sufficient to satisfy the applicable exercise price and/or tax withholding obligations; provided, that payment of such proceeds is then made to the Company at such time as may be required by the Administrator;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whole or in part by the Company withholding of Shares otherwise issuable upon exercise of this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Company (or, if Participant is subject to Section 16 of the Exchange Act, the Administrator) otherwise determines, and subject to Section 9.10 of the Plan, payment of any exercise price and/or applicable withholding tax obligations with respect to the Award shall be (i) if Participant is not subject to Section 16 of the Exchange Act, by delivery (including electronically or telephonically to the extent permitted by the Company) of an irrevocable and unconditional undertaking by a broker acceptable to the Company to deliver promptly to the Company sufficient funds to satisfy the exercise price and/or applicable tax withholding obligations or (ii) if Participant is subject to Section 16 of the Exchange Act, by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exercise of the Award, and that the broker has been directed to deliver promptly to the Company funds sufficient to satisfy the exercise price and/or applicable tax withholding obligations; provided, that payment of such proceeds is then made to the Company at such time as may be required by the Administrator.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Section 9.5 of the Plan, the applicable tax withholding obligation will be determined based on Participant’s Applicable Withholding Rate. Participant’s “</w:t>
      </w:r>
      <w:r>
        <w:rPr>
          <w:rFonts w:ascii="Times New Roman;Times;Serif" w:hAnsi="Times New Roman;Times;Serif"/>
          <w:b/>
          <w:i/>
          <w:caps w:val="false"/>
          <w:smallCaps w:val="false"/>
          <w:sz w:val="20"/>
        </w:rPr>
        <w:t>Applicable Withholding Rate</w:t>
      </w:r>
      <w:r>
        <w:rPr>
          <w:rFonts w:ascii="Times New Roman;Times;Serif" w:hAnsi="Times New Roman;Times;Serif"/>
          <w:b w:val="false"/>
          <w:i w:val="false"/>
          <w:caps w:val="false"/>
          <w:smallCaps w:val="false"/>
          <w:sz w:val="20"/>
        </w:rPr>
        <w:t>” shall mean (i) if Participant is subject to Section 16 of the Exchange Act, the greater of (A) the 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provided, however, that (i) in no event shall Participant’s Applicable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(ii) the number of Shares tendered or withheld, if applicable, shall be rounded up to the nearest whole Share sufficient to cover the applicable tax withholding obligation, to the extent rounding up to the nearest whole Share does not result in the liability classification of the Option under generally accepted accounting principles.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Participant acknowledges that Participant is ultimately liable and responsible for the exercise price and all taxes owed in connection with the Option (and, with respect to taxes,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OTHER PROVISIONS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Participant acknowledges that the Option is subject to adjustment, modification and termination in certain events as provided in this Agreement and the Plan.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Clawback</w:t>
      </w:r>
      <w:r>
        <w:rPr>
          <w:rFonts w:ascii="Times New Roman;Times;Serif" w:hAnsi="Times New Roman;Times;Serif"/>
          <w:b w:val="false"/>
          <w:i w:val="false"/>
          <w:caps w:val="false"/>
          <w:smallCaps w:val="false"/>
          <w:sz w:val="20"/>
        </w:rPr>
        <w:t>. The Option and the Shares issuable hereunder shall be subject to any clawback or recoupment policy in effect on the Grant Date or as may be adopted or maintained by the Company following the Grant Date, including the Company’s Policy for Recovery of Erroneously Awarded Compensation.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to be given under the terms of this Agreement to the Company must be in writing and addressed to the Company in care of the Company’s Chief Legal Officer at the Company’s principal office or the Chief Legal Officer’s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Titles</w:t>
      </w:r>
      <w:r>
        <w:rPr>
          <w:rFonts w:ascii="Times New Roman;Times;Serif" w:hAnsi="Times New Roman;Times;Serif"/>
          <w:b w:val="false"/>
          <w:i w:val="false"/>
          <w:caps w:val="false"/>
          <w:smallCaps w:val="false"/>
          <w:sz w:val="20"/>
        </w:rPr>
        <w:t>. Titles are provided herein for convenience only and are not to serve as a basis for interpretation or construction of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Conformity to Securities Laws</w:t>
      </w:r>
      <w:r>
        <w:rPr>
          <w:rFonts w:ascii="Times New Roman;Times;Serif" w:hAnsi="Times New Roman;Times;Serif"/>
          <w:b w:val="false"/>
          <w:i w:val="false"/>
          <w:caps w:val="false"/>
          <w:smallCaps w:val="false"/>
          <w:sz w:val="20"/>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Limitations Applicable to Section 16 Persons</w:t>
      </w:r>
      <w:r>
        <w:rPr>
          <w:rFonts w:ascii="Times New Roman;Times;Serif" w:hAnsi="Times New Roman;Times;Serif"/>
          <w:b w:val="false"/>
          <w:i w:val="false"/>
          <w:caps w:val="false"/>
          <w:smallCaps w:val="false"/>
          <w:sz w:val="20"/>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 Amendment</w:t>
      </w:r>
      <w:r>
        <w:rPr>
          <w:rFonts w:ascii="Times New Roman;Times;Serif" w:hAnsi="Times New Roman;Times;Serif"/>
          <w:b w:val="false"/>
          <w:i w:val="false"/>
          <w:caps w:val="false"/>
          <w:smallCaps w:val="false"/>
          <w:sz w:val="20"/>
        </w:rPr>
        <w:t>.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materially and adversely affect the Option without the prior written consent of Participant.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Agreement Severable</w:t>
      </w:r>
      <w:r>
        <w:rPr>
          <w:rFonts w:ascii="Times New Roman;Times;Serif" w:hAnsi="Times New Roman;Times;Serif"/>
          <w:b w:val="false"/>
          <w:i w:val="false"/>
          <w:caps w:val="false"/>
          <w:smallCaps w:val="false"/>
          <w:sz w:val="20"/>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Limitation on Participant’s Rights</w:t>
      </w:r>
      <w:r>
        <w:rPr>
          <w:rFonts w:ascii="Times New Roman;Times;Serif" w:hAnsi="Times New Roman;Times;Serif"/>
          <w:b w:val="false"/>
          <w:i w:val="false"/>
          <w:caps w:val="false"/>
          <w:smallCaps w:val="false"/>
          <w:sz w:val="20"/>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Not a Contract of Employment</w:t>
      </w:r>
      <w:r>
        <w:rPr>
          <w:rFonts w:ascii="Times New Roman;Times;Serif" w:hAnsi="Times New Roman;Times;Serif"/>
          <w:b w:val="false"/>
          <w:i w:val="false"/>
          <w:caps w:val="false"/>
          <w:smallCaps w:val="false"/>
          <w:sz w:val="20"/>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Incentive Stock Options</w:t>
      </w:r>
      <w:r>
        <w:rPr>
          <w:rFonts w:ascii="Times New Roman;Times;Serif" w:hAnsi="Times New Roman;Times;Serif"/>
          <w:b w:val="false"/>
          <w:i w:val="false"/>
          <w:caps w:val="false"/>
          <w:smallCaps w:val="false"/>
          <w:sz w:val="20"/>
        </w:rPr>
        <w:t>. If the Option is designated as an Incentive Stock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also acknowledges that if the Option is exercised more than three months after Participant’s Termination of Service, other than by reason of death or Disability, the Option will be taxed as a Non-Qualified Stock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Participant will give prompt written notice to the Company of any disposition or other transfer of any Shares acquired under this Agreement if such disposition or other transfer is made (i) within two years from the Grant Date or (ii) within one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 * * *</w:t>
      </w:r>
    </w:p>
    <w:p>
      <w:pPr>
        <w:pStyle w:val="TextBody"/>
        <w:bidi w:val="0"/>
        <w:spacing w:before="0" w:after="0"/>
        <w:ind w:left="0" w:right="0" w:hanging="0"/>
        <w:jc w:val="center"/>
        <w:rPr>
          <w:smallCaps/>
        </w:rPr>
      </w:pPr>
      <w:r>
        <w:rPr>
          <w:smallCaps/>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A-5</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6" w:name="ea028257401ex10-7.htm"/>
      <w:bookmarkStart w:id="57" w:name="ksea028257401ex107"/>
      <w:bookmarkEnd w:id="56"/>
      <w:bookmarkEnd w:id="57"/>
      <w:r>
        <w:rPr>
          <w:b/>
        </w:rPr>
        <w:t>Exhibit 10.7</w:t>
      </w:r>
      <w:r>
        <w:br w:type="page"/>
      </w:r>
    </w:p>
    <w:p>
      <w:pPr>
        <w:pStyle w:val="TextBody"/>
        <w:bidi w:val="0"/>
        <w:spacing w:before="0" w:after="283"/>
        <w:jc w:val="left"/>
        <w:rPr/>
      </w:pPr>
      <w:r>
        <w:rPr/>
        <w:t> </w:t>
      </w:r>
    </w:p>
    <w:tbl>
      <w:tblPr>
        <w:tblW w:w="3740" w:type="dxa"/>
        <w:jc w:val="left"/>
        <w:tblInd w:w="-15" w:type="dxa"/>
        <w:tblLayout w:type="fixed"/>
        <w:tblCellMar>
          <w:top w:w="100" w:type="dxa"/>
          <w:left w:w="108" w:type="dxa"/>
          <w:bottom w:w="0" w:type="dxa"/>
          <w:right w:w="108" w:type="dxa"/>
        </w:tblCellMar>
      </w:tblPr>
      <w:tblGrid>
        <w:gridCol w:w="3740"/>
      </w:tblGrid>
      <w:tr>
        <w:trPr/>
        <w:tc>
          <w:tcPr>
            <w:tcW w:w="3740" w:type="dxa"/>
            <w:tcBorders>
              <w:top w:val="single" w:sz="12" w:space="0" w:color="000000"/>
              <w:left w:val="single" w:sz="12" w:space="0" w:color="000000"/>
              <w:right w:val="single" w:sz="12" w:space="0" w:color="000000"/>
            </w:tcBorders>
            <w:vAlign w:val="center"/>
          </w:tcPr>
          <w:p>
            <w:pPr>
              <w:pStyle w:val="TableContents"/>
              <w:bidi w:val="0"/>
              <w:spacing w:before="0" w:after="283"/>
              <w:jc w:val="center"/>
              <w:rPr>
                <w:b/>
              </w:rPr>
            </w:pPr>
            <w:r>
              <w:rPr>
                <w:b/>
              </w:rPr>
              <w:t>MERLIN, INC.</w:t>
            </w:r>
          </w:p>
        </w:tc>
      </w:tr>
      <w:tr>
        <w:trPr/>
        <w:tc>
          <w:tcPr>
            <w:tcW w:w="3740" w:type="dxa"/>
            <w:tcBorders>
              <w:left w:val="single" w:sz="12" w:space="0" w:color="000000"/>
              <w:right w:val="single" w:sz="12" w:space="0" w:color="000000"/>
            </w:tcBorders>
            <w:tcMar>
              <w:top w:w="0" w:type="dxa"/>
            </w:tcMar>
            <w:vAlign w:val="center"/>
          </w:tcPr>
          <w:p>
            <w:pPr>
              <w:pStyle w:val="TableContents"/>
              <w:bidi w:val="0"/>
              <w:spacing w:before="0" w:after="283"/>
              <w:jc w:val="center"/>
              <w:rPr/>
            </w:pPr>
            <w:r>
              <w:rPr/>
              <w:t> </w:t>
            </w:r>
          </w:p>
        </w:tc>
      </w:tr>
      <w:tr>
        <w:trPr/>
        <w:tc>
          <w:tcPr>
            <w:tcW w:w="3740" w:type="dxa"/>
            <w:tcBorders>
              <w:left w:val="single" w:sz="12" w:space="0" w:color="000000"/>
              <w:bottom w:val="single" w:sz="12" w:space="0" w:color="000000"/>
              <w:right w:val="single" w:sz="12" w:space="0" w:color="000000"/>
            </w:tcBorders>
            <w:tcMar>
              <w:top w:w="0" w:type="dxa"/>
              <w:bottom w:w="100" w:type="dxa"/>
            </w:tcMar>
            <w:vAlign w:val="center"/>
          </w:tcPr>
          <w:p>
            <w:pPr>
              <w:pStyle w:val="TableContents"/>
              <w:bidi w:val="0"/>
              <w:spacing w:before="0" w:after="283"/>
              <w:jc w:val="center"/>
              <w:rPr>
                <w:b/>
              </w:rPr>
            </w:pPr>
            <w:r>
              <w:rPr>
                <w:b/>
              </w:rPr>
              <w:t>2026 INCENTIVE AWARD PLAN</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RESTRICTED STOCK Unit Grant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Merlin,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granted to the participant listed below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the Restricted Stock Units (the “</w:t>
      </w:r>
      <w:r>
        <w:rPr>
          <w:rFonts w:ascii="Times New Roman;Times;Serif" w:hAnsi="Times New Roman;Times;Serif"/>
          <w:b/>
          <w:i/>
          <w:caps w:val="false"/>
          <w:smallCaps w:val="false"/>
          <w:sz w:val="20"/>
        </w:rPr>
        <w:t>RSUs</w:t>
      </w:r>
      <w:r>
        <w:rPr>
          <w:rFonts w:ascii="Times New Roman;Times;Serif" w:hAnsi="Times New Roman;Times;Serif"/>
          <w:b w:val="false"/>
          <w:i w:val="false"/>
          <w:caps w:val="false"/>
          <w:smallCaps w:val="false"/>
          <w:sz w:val="20"/>
        </w:rPr>
        <w:t>”) described in this Restricted Stock Unit Grant Notice (this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subject to the terms and conditions of the Merlin, Inc. 2026 Incentive Award Plan (as amended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xml:space="preserve">”) and the Restricted Stock Unit Agreement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both of which are incorporated into this Grant Notice by reference. Capitalized terms not specifically defined in this Grant Notice or the Agreement have the meanings given to them in the Plan.</w:t>
      </w:r>
    </w:p>
    <w:p>
      <w:pPr>
        <w:pStyle w:val="TextBody"/>
        <w:bidi w:val="0"/>
        <w:spacing w:before="0" w:after="0"/>
        <w:ind w:left="0" w:right="0" w:firstLine="72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3125"/>
        <w:gridCol w:w="1640"/>
      </w:tblGrid>
      <w:tr>
        <w:trPr/>
        <w:tc>
          <w:tcPr>
            <w:tcW w:w="3125" w:type="dxa"/>
            <w:tcBorders/>
            <w:vAlign w:val="center"/>
          </w:tcPr>
          <w:p>
            <w:pPr>
              <w:pStyle w:val="TableContents"/>
              <w:bidi w:val="0"/>
              <w:spacing w:before="0" w:after="283"/>
              <w:jc w:val="left"/>
              <w:rPr>
                <w:b/>
              </w:rPr>
            </w:pPr>
            <w:r>
              <w:rPr>
                <w:b/>
              </w:rPr>
              <w:t>Participant:</w:t>
            </w:r>
          </w:p>
        </w:tc>
        <w:tc>
          <w:tcPr>
            <w:tcW w:w="1640" w:type="dxa"/>
            <w:tcBorders/>
            <w:vAlign w:val="center"/>
          </w:tcPr>
          <w:p>
            <w:pPr>
              <w:pStyle w:val="TableContents"/>
              <w:bidi w:val="0"/>
              <w:spacing w:before="0" w:after="283"/>
              <w:jc w:val="left"/>
              <w:rPr/>
            </w:pPr>
            <w:r>
              <w:rPr/>
              <w:t>[To be specified]</w:t>
            </w:r>
          </w:p>
        </w:tc>
      </w:tr>
      <w:tr>
        <w:trPr/>
        <w:tc>
          <w:tcPr>
            <w:tcW w:w="3125" w:type="dxa"/>
            <w:tcBorders/>
            <w:vAlign w:val="center"/>
          </w:tcPr>
          <w:p>
            <w:pPr>
              <w:pStyle w:val="TableContents"/>
              <w:bidi w:val="0"/>
              <w:spacing w:before="0" w:after="283"/>
              <w:jc w:val="left"/>
              <w:rPr>
                <w:b/>
              </w:rPr>
            </w:pPr>
            <w:r>
              <w:rPr>
                <w:b/>
              </w:rPr>
              <w:t>Grant Date:</w:t>
            </w:r>
          </w:p>
        </w:tc>
        <w:tc>
          <w:tcPr>
            <w:tcW w:w="1640" w:type="dxa"/>
            <w:tcBorders/>
            <w:vAlign w:val="center"/>
          </w:tcPr>
          <w:p>
            <w:pPr>
              <w:pStyle w:val="TableContents"/>
              <w:bidi w:val="0"/>
              <w:spacing w:before="0" w:after="283"/>
              <w:jc w:val="left"/>
              <w:rPr/>
            </w:pPr>
            <w:r>
              <w:rPr/>
              <w:t>[To be specified]</w:t>
            </w:r>
          </w:p>
        </w:tc>
      </w:tr>
      <w:tr>
        <w:trPr/>
        <w:tc>
          <w:tcPr>
            <w:tcW w:w="3125" w:type="dxa"/>
            <w:tcBorders/>
            <w:vAlign w:val="center"/>
          </w:tcPr>
          <w:p>
            <w:pPr>
              <w:pStyle w:val="TableContents"/>
              <w:bidi w:val="0"/>
              <w:spacing w:before="0" w:after="283"/>
              <w:jc w:val="left"/>
              <w:rPr>
                <w:b/>
              </w:rPr>
            </w:pPr>
            <w:r>
              <w:rPr>
                <w:b/>
              </w:rPr>
              <w:t>Number of RSUs:</w:t>
            </w:r>
          </w:p>
        </w:tc>
        <w:tc>
          <w:tcPr>
            <w:tcW w:w="1640" w:type="dxa"/>
            <w:tcBorders/>
            <w:vAlign w:val="center"/>
          </w:tcPr>
          <w:p>
            <w:pPr>
              <w:pStyle w:val="TableContents"/>
              <w:bidi w:val="0"/>
              <w:spacing w:before="0" w:after="283"/>
              <w:jc w:val="left"/>
              <w:rPr/>
            </w:pPr>
            <w:r>
              <w:rPr/>
              <w:t>[To be specified]</w:t>
            </w:r>
          </w:p>
        </w:tc>
      </w:tr>
      <w:tr>
        <w:trPr/>
        <w:tc>
          <w:tcPr>
            <w:tcW w:w="3125" w:type="dxa"/>
            <w:tcBorders/>
            <w:vAlign w:val="center"/>
          </w:tcPr>
          <w:p>
            <w:pPr>
              <w:pStyle w:val="TableContents"/>
              <w:bidi w:val="0"/>
              <w:spacing w:before="0" w:after="283"/>
              <w:jc w:val="left"/>
              <w:rPr>
                <w:b/>
              </w:rPr>
            </w:pPr>
            <w:r>
              <w:rPr>
                <w:b/>
              </w:rPr>
              <w:t>Vesting Commencement Date:</w:t>
            </w:r>
          </w:p>
        </w:tc>
        <w:tc>
          <w:tcPr>
            <w:tcW w:w="1640" w:type="dxa"/>
            <w:tcBorders/>
            <w:vAlign w:val="center"/>
          </w:tcPr>
          <w:p>
            <w:pPr>
              <w:pStyle w:val="TableContents"/>
              <w:bidi w:val="0"/>
              <w:spacing w:before="0" w:after="283"/>
              <w:jc w:val="left"/>
              <w:rPr/>
            </w:pPr>
            <w:r>
              <w:rPr/>
              <w:t>[To be specified]</w:t>
            </w:r>
          </w:p>
        </w:tc>
      </w:tr>
      <w:tr>
        <w:trPr/>
        <w:tc>
          <w:tcPr>
            <w:tcW w:w="3125" w:type="dxa"/>
            <w:tcBorders/>
            <w:vAlign w:val="center"/>
          </w:tcPr>
          <w:p>
            <w:pPr>
              <w:pStyle w:val="TableContents"/>
              <w:bidi w:val="0"/>
              <w:spacing w:before="0" w:after="283"/>
              <w:jc w:val="left"/>
              <w:rPr>
                <w:b/>
              </w:rPr>
            </w:pPr>
            <w:r>
              <w:rPr>
                <w:b/>
              </w:rPr>
              <w:t>Vesting Schedule:</w:t>
            </w:r>
          </w:p>
        </w:tc>
        <w:tc>
          <w:tcPr>
            <w:tcW w:w="1640" w:type="dxa"/>
            <w:tcBorders/>
            <w:vAlign w:val="center"/>
          </w:tcPr>
          <w:p>
            <w:pPr>
              <w:pStyle w:val="TableContents"/>
              <w:bidi w:val="0"/>
              <w:spacing w:before="0" w:after="283"/>
              <w:jc w:val="left"/>
              <w:rPr/>
            </w:pPr>
            <w:r>
              <w:rPr/>
              <w:t>[To be specified]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pStyle w:val="TextBody"/>
        <w:bidi w:val="0"/>
        <w:spacing w:before="0" w:after="0"/>
        <w:ind w:left="0" w:right="0" w:firstLine="720"/>
        <w:jc w:val="both"/>
        <w:rPr>
          <w:caps w:val="false"/>
          <w:smallCaps w:val="false"/>
        </w:rPr>
      </w:pPr>
      <w:r>
        <w:rPr>
          <w:caps w:val="false"/>
          <w:smallCaps w:val="false"/>
        </w:rPr>
        <w:t> </w:t>
      </w:r>
    </w:p>
    <w:tbl>
      <w:tblPr>
        <w:tblW w:w="3549" w:type="dxa"/>
        <w:jc w:val="left"/>
        <w:tblInd w:w="0" w:type="dxa"/>
        <w:tblLayout w:type="fixed"/>
        <w:tblCellMar>
          <w:top w:w="0" w:type="dxa"/>
          <w:left w:w="0" w:type="dxa"/>
          <w:bottom w:w="0" w:type="dxa"/>
          <w:right w:w="0" w:type="dxa"/>
        </w:tblCellMar>
      </w:tblPr>
      <w:tblGrid>
        <w:gridCol w:w="1518"/>
        <w:gridCol w:w="151"/>
        <w:gridCol w:w="60"/>
        <w:gridCol w:w="1820"/>
      </w:tblGrid>
      <w:tr>
        <w:trPr/>
        <w:tc>
          <w:tcPr>
            <w:tcW w:w="1669" w:type="dxa"/>
            <w:gridSpan w:val="2"/>
            <w:tcBorders/>
            <w:vAlign w:val="center"/>
          </w:tcPr>
          <w:p>
            <w:pPr>
              <w:pStyle w:val="TableContents"/>
              <w:bidi w:val="0"/>
              <w:spacing w:before="0" w:after="283"/>
              <w:ind w:left="0" w:right="0" w:hanging="0"/>
              <w:jc w:val="left"/>
              <w:rPr>
                <w:b/>
                <w:smallCaps/>
              </w:rPr>
            </w:pPr>
            <w:r>
              <w:rPr>
                <w:b/>
                <w:smallCaps/>
              </w:rPr>
              <w:t>MERLIN, INC.</w:t>
            </w:r>
          </w:p>
        </w:tc>
        <w:tc>
          <w:tcPr>
            <w:tcW w:w="60" w:type="dxa"/>
            <w:tcBorders/>
            <w:vAlign w:val="center"/>
          </w:tcPr>
          <w:p>
            <w:pPr>
              <w:pStyle w:val="TableContents"/>
              <w:bidi w:val="0"/>
              <w:spacing w:before="0" w:after="283"/>
              <w:ind w:left="0" w:right="0" w:hanging="0"/>
              <w:jc w:val="left"/>
              <w:rPr/>
            </w:pPr>
            <w:r>
              <w:rPr/>
              <w:t> </w:t>
            </w:r>
          </w:p>
        </w:tc>
        <w:tc>
          <w:tcPr>
            <w:tcW w:w="1820" w:type="dxa"/>
            <w:tcBorders/>
            <w:vAlign w:val="center"/>
          </w:tcPr>
          <w:p>
            <w:pPr>
              <w:pStyle w:val="TableContents"/>
              <w:bidi w:val="0"/>
              <w:spacing w:before="0" w:after="283"/>
              <w:ind w:left="0" w:right="0" w:hanging="0"/>
              <w:jc w:val="left"/>
              <w:rPr>
                <w:b/>
              </w:rPr>
            </w:pPr>
            <w:r>
              <w:rPr>
                <w:b/>
              </w:rPr>
              <w:t>PARTICIPANT</w:t>
            </w:r>
          </w:p>
        </w:tc>
      </w:tr>
      <w:tr>
        <w:trPr/>
        <w:tc>
          <w:tcPr>
            <w:tcW w:w="16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0" w:type="dxa"/>
            <w:tcBorders/>
            <w:vAlign w:val="center"/>
          </w:tcPr>
          <w:p>
            <w:pPr>
              <w:pStyle w:val="TableContents"/>
              <w:bidi w:val="0"/>
              <w:spacing w:before="0" w:after="283"/>
              <w:ind w:left="0" w:right="0" w:hanging="0"/>
              <w:jc w:val="left"/>
              <w:rPr/>
            </w:pPr>
            <w:r>
              <w:rPr/>
              <w:t> </w:t>
            </w:r>
          </w:p>
        </w:tc>
      </w:tr>
      <w:tr>
        <w:trPr/>
        <w:tc>
          <w:tcPr>
            <w:tcW w:w="1518" w:type="dxa"/>
            <w:tcBorders/>
            <w:vAlign w:val="center"/>
          </w:tcPr>
          <w:p>
            <w:pPr>
              <w:pStyle w:val="TableContents"/>
              <w:bidi w:val="0"/>
              <w:spacing w:before="0" w:after="283"/>
              <w:ind w:left="0" w:right="0" w:hanging="0"/>
              <w:jc w:val="left"/>
              <w:rPr/>
            </w:pPr>
            <w:r>
              <w:rPr/>
              <w:t>By:</w:t>
            </w:r>
          </w:p>
        </w:tc>
        <w:tc>
          <w:tcPr>
            <w:tcW w:w="15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0"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r>
      <w:tr>
        <w:trPr/>
        <w:tc>
          <w:tcPr>
            <w:tcW w:w="1518" w:type="dxa"/>
            <w:tcBorders/>
            <w:vAlign w:val="center"/>
          </w:tcPr>
          <w:p>
            <w:pPr>
              <w:pStyle w:val="TableContents"/>
              <w:bidi w:val="0"/>
              <w:spacing w:before="0" w:after="283"/>
              <w:ind w:left="0" w:right="0" w:hanging="0"/>
              <w:jc w:val="left"/>
              <w:rPr/>
            </w:pPr>
            <w:r>
              <w:rPr/>
              <w:t>Name:</w:t>
            </w:r>
          </w:p>
        </w:tc>
        <w:tc>
          <w:tcPr>
            <w:tcW w:w="15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0" w:type="dxa"/>
            <w:tcBorders/>
            <w:vAlign w:val="center"/>
          </w:tcPr>
          <w:p>
            <w:pPr>
              <w:pStyle w:val="TableContents"/>
              <w:bidi w:val="0"/>
              <w:spacing w:before="0" w:after="283"/>
              <w:ind w:left="0" w:right="0" w:hanging="0"/>
              <w:jc w:val="left"/>
              <w:rPr/>
            </w:pPr>
            <w:r>
              <w:rPr/>
              <w:t>[Participant Name]</w:t>
            </w:r>
          </w:p>
        </w:tc>
      </w:tr>
      <w:tr>
        <w:trPr/>
        <w:tc>
          <w:tcPr>
            <w:tcW w:w="1518" w:type="dxa"/>
            <w:tcBorders/>
            <w:vAlign w:val="center"/>
          </w:tcPr>
          <w:p>
            <w:pPr>
              <w:pStyle w:val="TableContents"/>
              <w:bidi w:val="0"/>
              <w:spacing w:before="0" w:after="283"/>
              <w:ind w:left="0" w:right="0" w:hanging="0"/>
              <w:jc w:val="left"/>
              <w:rPr/>
            </w:pPr>
            <w:r>
              <w:rPr/>
              <w:t>Title:</w:t>
            </w:r>
          </w:p>
        </w:tc>
        <w:tc>
          <w:tcPr>
            <w:tcW w:w="15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RESTRICTED STOCK UNIT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specifically defined in this Restricted Stock Unit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have the meanings specified in the Grant Notice or, if not defined in the Grant Notice, in the Plan.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Award of RSUs and Dividend Equivalents.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granted the RSUs to Participant effective as of the Grant Date set forth in the Grant Notice (the “</w:t>
      </w:r>
      <w:r>
        <w:rPr>
          <w:rFonts w:ascii="Times New Roman;Times;Serif" w:hAnsi="Times New Roman;Times;Serif"/>
          <w:b/>
          <w:i/>
          <w:caps w:val="false"/>
          <w:smallCaps w:val="false"/>
          <w:sz w:val="20"/>
        </w:rPr>
        <w:t>Grant Date</w:t>
      </w:r>
      <w:r>
        <w:rPr>
          <w:rFonts w:ascii="Times New Roman;Times;Serif" w:hAnsi="Times New Roman;Times;Serif"/>
          <w:b w:val="false"/>
          <w:i w:val="false"/>
          <w:caps w:val="false"/>
          <w:smallCaps w:val="false"/>
          <w:sz w:val="20"/>
        </w:rPr>
        <w:t>”). Each RSU represents the right to receive one Share as set forth in this Agreement. Participant will have no right to the distribution of any Shares until the time (if ever) the RSUs have vested.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hereby grants to Participant, with respect to each RSU granted hereunder,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Times;Serif" w:hAnsi="Times New Roman;Times;Serif"/>
          <w:b/>
          <w:i/>
          <w:caps w:val="false"/>
          <w:smallCaps w:val="false"/>
          <w:sz w:val="20"/>
        </w:rPr>
        <w:t>Dividend Equivalent Account</w:t>
      </w:r>
      <w:r>
        <w:rPr>
          <w:rFonts w:ascii="Times New Roman;Times;Serif" w:hAnsi="Times New Roman;Times;Serif"/>
          <w:b w:val="false"/>
          <w:i w:val="false"/>
          <w:caps w:val="false"/>
          <w:smallCaps w:val="false"/>
          <w:sz w:val="20"/>
        </w:rPr>
        <w:t>”) for each Dividend Equivalent and credit the Dividend Equivalent Account (without interest) on the applicable dividend payment date with the amount of any such cash paid.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Incorporation of Terms of Plan</w:t>
      </w:r>
      <w:r>
        <w:rPr>
          <w:rFonts w:ascii="Times New Roman;Times;Serif" w:hAnsi="Times New Roman;Times;Serif"/>
          <w:b w:val="false"/>
          <w:i w:val="false"/>
          <w:caps w:val="false"/>
          <w:smallCaps w:val="false"/>
          <w:sz w:val="20"/>
        </w:rPr>
        <w:t>. The RSUs and Dividend Equivalents are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Unsecured Promise</w:t>
      </w:r>
      <w:r>
        <w:rPr>
          <w:rFonts w:ascii="Times New Roman;Times;Serif" w:hAnsi="Times New Roman;Times;Serif"/>
          <w:b w:val="false"/>
          <w:i w:val="false"/>
          <w:caps w:val="false"/>
          <w:smallCaps w:val="false"/>
          <w:sz w:val="20"/>
        </w:rPr>
        <w:t>. The RSUs and Dividend Equivalents will at all times prior to settlement represent an unsecured Company obligation payable only from the Company’s general assets.</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w:t>
        <w:br/>
        <w:t>VESTING; forfeiture AND SETTLEMENT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Vesting; Forfeiture</w:t>
      </w:r>
      <w:r>
        <w:rPr>
          <w:rFonts w:ascii="Times New Roman;Times;Serif" w:hAnsi="Times New Roman;Times;Serif"/>
          <w:b w:val="false"/>
          <w:i w:val="false"/>
          <w:caps w:val="false"/>
          <w:smallCaps w:val="false"/>
          <w:sz w:val="20"/>
        </w:rPr>
        <w:t>. The RSUs will vest according to the vesting schedule in the Grant Notice except that any fraction of an RSU that would otherwise be vested will be accumulated and will vest only when a whole RSU has accumulated. Dividend Equivalents (including any Dividend Equivalent Account balance) will vest upon the vesting of the RSUs with respect to which the Dividend Equivalent (including the Dividend Equivalent Account) relates. In the event of Participant’s Termination of Service for any reason, (a) all unvested RSUs will immediately and automatically be cancelled and forfeited, except as otherwise determined by the Administrator or provided in a binding written agreement between Participant and the Company (after taking into consideration any accelerated vesting which may occur in connection with such Termination of Service, including under the Company’s Executive Severance Plan, if applicable) and (b) Dividend Equivalents (including any Dividend Equivalent Account balance) will be forfeited upon the forfeiture of the RSUs with respect to which the Dividend Equivalent (including the Dividend Equivalent Account) relates.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Settlement.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RSUs will, to the extent vested, be paid in Shares, and Dividend Equivalents (including any Dividend Equivalent Account balance) will be paid in cash or, if approved by the Administrator, Shares, as soon as administratively practicable after the vesting of the applicable RSU, but in no event later than March 15 of the year following the year in which the RSU’s vesting date occurs.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 Any Dividend Equivalents granted in connection with the RSUs issued hereunder, and any amounts that may become distributable in respect thereof, shall be treated separately from such RSUs and the rights arising in connection therewith for purposes of the designation of time and form of payments required by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III.</w:t>
        <w:br/>
        <w:t>TAXATION AND TAX WITHHOLDING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w:t>
      </w:r>
      <w:r>
        <w:rPr>
          <w:rFonts w:ascii="Times New Roman;Times;Serif" w:hAnsi="Times New Roman;Times;Serif"/>
          <w:b w:val="false"/>
          <w:i w:val="false"/>
          <w:caps w:val="false"/>
          <w:smallCaps w:val="false"/>
          <w:sz w:val="20"/>
        </w:rPr>
        <w:t>. Participant represents to the Company that Participant has reviewed with Participant’s own tax advisors the tax consequences of this award of RSUs and Dividend Equivalents (the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and the transactions contemplated by the Grant Notice and this Agreement. Participant is relying solely on such advisors and not on any statements or representations of the Company or any of its agents.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Tax Withholding.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3.2(b), payment of the withholding tax obligations with respect to the Award may be by any of the following, or a combination thereof, as determined by the Company (or, if Participant is subject to Section 16 of the Exchange Act, the Administrator):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Cash or check;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whole or in part by delivery of Shares, including Shares delivered by attestation and Shares retained from the Award creating the tax obligation, valued at their Fair Market Value on the date of delivery;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Section 9.10 of the Plan,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tax withholding obligations; provided, that payment of such proceeds is then made to the Company at such time as may be required by the Administrator;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whole or in part by the Company withholding of Shares otherwise vesting or issuable under this Award in satisfaction of any applicable withholding tax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Company (or, if Participant is subject to Section 16 of the Exchange Act, the Administrator) otherwise determines, and subject to Section 9.10 of the Plan, payment of the withholding tax obligations with respect to the Award shall be (i) if Participant is not subject to Section 16 of the Exchange Act, by delivery (including electronically or telephonically to the extent permitted by the Company) of an irrevocable and unconditional undertaking by a broker acceptable to the Company to deliver promptly to the Company sufficient funds to satisfy the applicable tax withholding obligations or (ii) if Participant is subject to Section 16 of the Exchange Act, then by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tax withholding obligations; provided, that payment of such proceeds is then made to the Company at such time as may be required by the Administrator.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Section 9.5 of the Plan, the applicable tax withholding obligation will be determined based on Participant’s Applicable Withholding Rate. Participant’s “</w:t>
      </w:r>
      <w:r>
        <w:rPr>
          <w:rFonts w:ascii="Times New Roman;Times;Serif" w:hAnsi="Times New Roman;Times;Serif"/>
          <w:b/>
          <w:i/>
          <w:caps w:val="false"/>
          <w:smallCaps w:val="false"/>
          <w:sz w:val="20"/>
        </w:rPr>
        <w:t>Applicable Withholding Rate</w:t>
      </w:r>
      <w:r>
        <w:rPr>
          <w:rFonts w:ascii="Times New Roman;Times;Serif" w:hAnsi="Times New Roman;Times;Serif"/>
          <w:b w:val="false"/>
          <w:i w:val="false"/>
          <w:caps w:val="false"/>
          <w:smallCaps w:val="false"/>
          <w:sz w:val="20"/>
        </w:rPr>
        <w:t>” shall mean (i) if Participant is subject to Section 16 of the Exchange Act, the greater of (A) the 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provided, however, that (i) in no event shall Participant’s Applicable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(ii) the number of Shares tendered or withheld, if applicable, shall be rounded up to the nearest whole Share sufficient to cover the applicable tax withholding obligation, to the extent rounding up to the nearest whole Share does not result in the liability classification of the RSUs under generally accepted accounting principles.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Participant acknowledges that Participant is ultimately liable and responsible for all taxes owed in connection with the RSUs and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its Subsidiaries do not commit and are under no obligation to structure the RSUs or Dividend Equivalents to reduce or eliminate Participant’s tax liability.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other provisions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Participant acknowledges that the RSUs and the Shares subject to the RSUs and the Dividend Equivalents are subject to adjustment, modification and termination in certain events as provided in this Agreement and the Plan.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Clawback</w:t>
      </w:r>
      <w:r>
        <w:rPr>
          <w:rFonts w:ascii="Times New Roman;Times;Serif" w:hAnsi="Times New Roman;Times;Serif"/>
          <w:b w:val="false"/>
          <w:i w:val="false"/>
          <w:caps w:val="false"/>
          <w:smallCaps w:val="false"/>
          <w:sz w:val="20"/>
        </w:rPr>
        <w:t>. The Award and the Shares issuable hereunder shall be subject to any clawback or recoupment policy in effect on the Grant Date or as may be adopted or maintained by the Company following the Grant Date, including the Company’s Policy for Recovery of Erroneously Awarded Compensation.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to be given under the terms of this Agreement to the Company must be in writing and addressed to the Company in care of the Company’s Chief Legal Officer at the Company’s principal office or the Chief Legal Officer’s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Titles</w:t>
      </w:r>
      <w:r>
        <w:rPr>
          <w:rFonts w:ascii="Times New Roman;Times;Serif" w:hAnsi="Times New Roman;Times;Serif"/>
          <w:b w:val="false"/>
          <w:i w:val="false"/>
          <w:caps w:val="false"/>
          <w:smallCaps w:val="false"/>
          <w:sz w:val="20"/>
        </w:rPr>
        <w:t>. Titles are provided herein for convenience only and are not to serve as a basis for interpretation or construction of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Conformity to Securities Laws</w:t>
      </w:r>
      <w:r>
        <w:rPr>
          <w:rFonts w:ascii="Times New Roman;Times;Serif" w:hAnsi="Times New Roman;Times;Serif"/>
          <w:b w:val="false"/>
          <w:i w:val="false"/>
          <w:caps w:val="false"/>
          <w:smallCaps w:val="false"/>
          <w:sz w:val="20"/>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Limitations Applicable to Section 16 Persons</w:t>
      </w:r>
      <w:r>
        <w:rPr>
          <w:rFonts w:ascii="Times New Roman;Times;Serif" w:hAnsi="Times New Roman;Times;Serif"/>
          <w:b w:val="false"/>
          <w:i w:val="false"/>
          <w:caps w:val="false"/>
          <w:smallCaps w:val="false"/>
          <w:sz w:val="20"/>
        </w:rPr>
        <w:t>. Notwithstanding any other provision of the Plan or this Agreement, if Participant is subject to Section 16 of the Exchange Act, the Plan, the Grant Notice, this Agreement and the RSUs and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Entire Agreement; Amendment</w:t>
      </w:r>
      <w:r>
        <w:rPr>
          <w:rFonts w:ascii="Times New Roman;Times;Serif" w:hAnsi="Times New Roman;Times;Serif"/>
          <w:b w:val="false"/>
          <w:i w:val="false"/>
          <w:caps w:val="false"/>
          <w:smallCaps w:val="false"/>
          <w:sz w:val="20"/>
        </w:rPr>
        <w:t>.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materially and adversely affect the RSUs or Dividend Equivalents without the prior written consent of Participant.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Agreement Severable</w:t>
      </w:r>
      <w:r>
        <w:rPr>
          <w:rFonts w:ascii="Times New Roman;Times;Serif" w:hAnsi="Times New Roman;Times;Serif"/>
          <w:b w:val="false"/>
          <w:i w:val="false"/>
          <w:caps w:val="false"/>
          <w:smallCaps w:val="false"/>
          <w:sz w:val="20"/>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Limitation on Participant’s Rights</w:t>
      </w:r>
      <w:r>
        <w:rPr>
          <w:rFonts w:ascii="Times New Roman;Times;Serif" w:hAnsi="Times New Roman;Times;Serif"/>
          <w:b w:val="false"/>
          <w:i w:val="false"/>
          <w:caps w:val="false"/>
          <w:smallCaps w:val="false"/>
          <w:sz w:val="20"/>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Not a Contract of Employment</w:t>
      </w:r>
      <w:r>
        <w:rPr>
          <w:rFonts w:ascii="Times New Roman;Times;Serif" w:hAnsi="Times New Roman;Times;Serif"/>
          <w:b w:val="false"/>
          <w:i w:val="false"/>
          <w:caps w:val="false"/>
          <w:smallCaps w:val="false"/>
          <w:sz w:val="20"/>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 * *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right"/>
        <w:rPr>
          <w:b/>
        </w:rPr>
      </w:pPr>
      <w:bookmarkStart w:id="58" w:name="ea028257401ex10-8.htm"/>
      <w:bookmarkStart w:id="59" w:name="ksea028257401ex108"/>
      <w:bookmarkEnd w:id="58"/>
      <w:bookmarkEnd w:id="59"/>
      <w:r>
        <w:rPr>
          <w:b/>
        </w:rPr>
        <w:t>Exhibit 10.8</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w:t>
        <w:br/>
        <w:t>2026 EMPLOYEE STOCK PURCHASE PLAN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PURPOSE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purposes of this Merlin, Inc. 2026 Employee Stock Purchase Plan (as it may be amended or restated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are to assist Eligible Employees of Merlin,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its Designated Subsidiaries in acquiring a stock ownership interest in the Company pursuant to a plan which is intended to qualify as an “employee stock purchase plan” within the meaning of Section 423(b) of the Code, and to help Eligible Employees provide for their future security and to encourage them to remain in the employment of the Company and its Designated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DEFINITIONS AND CONSTRUCTION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 shall mean the entity that conducts the general administration of the Plan as provided in Article XI. The term “Administrator” shall refer to the Committee unless the Board has assumed the authority for administration of the Plan as provided in Article XI.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caps w:val="false"/>
          <w:smallCaps w:val="false"/>
          <w:sz w:val="20"/>
        </w:rPr>
        <w:t>Applicable Law</w:t>
      </w:r>
      <w:r>
        <w:rPr>
          <w:rFonts w:ascii="Times New Roman;Times;Serif" w:hAnsi="Times New Roman;Times;Serif"/>
          <w:b w:val="false"/>
          <w:i w:val="false"/>
          <w:caps w:val="false"/>
          <w:smallCaps w:val="false"/>
          <w:sz w:val="20"/>
        </w:rPr>
        <w:t>” shall mean any applicable law, including without limitation: (a) provisions of the Code, the Securities Act, the Exchange Act and any rules or regulations thereunder; (b) corporate, securities, tax or other laws, statutes, rules, requirements or regulations, whether U.S. or non-U.S. federal, state or local; and (c) rules of any securities exchange or automated quotation system on which the Shares are listed, quoted or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shall mean and include each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Times;Serif" w:hAnsi="Times New Roman;Times;Serif"/>
          <w:b/>
          <w:i/>
          <w:caps w:val="false"/>
          <w:smallCaps w:val="false"/>
          <w:sz w:val="20"/>
        </w:rPr>
        <w:t>Successor Entity</w:t>
      </w:r>
      <w:r>
        <w:rPr>
          <w:rFonts w:ascii="Times New Roman;Times;Serif" w:hAnsi="Times New Roman;Times;Serif"/>
          <w:b w:val="false"/>
          <w:i w:val="false"/>
          <w:caps w:val="false"/>
          <w:smallCaps w:val="false"/>
          <w:sz w:val="20"/>
        </w:rPr>
        <w:t>”)) directly or indirectly, at least a majority of the combined voting power of the Successor Entity’s outstanding voting securities immediately after the transaction,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after which no person or group beneficially owns voting securities representing 50% or more of the combined voting power of the Successor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a Change in Control constitutes a payment event with respect to any portion of any right that provides for the deferral of compensation that is subject to Section 409A of the Code, to the extent required to avoid the imposition of additional taxes under Section 409A of the Code, the transaction or event described in subsection (a), (b) or (c) with respect to such right (or portion thereof) shall only constitute a Change in Control for purposes of the payment timing of such right (or portion thereof) if such transaction also constitutes a “change in control event,” as defined in Treasury Regulation Section 1.409A-3(i)(5).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shall mean the Internal Revenue Code of 1986, as amended and the regulations issued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shall mean the common stock of the Company, par value of $0.0001 per share, and such other securities of the Company that may be substituted therefor pursuant to Article VIII.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shall mean Merlin, Inc., a Delaware corporation, or any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i/>
          <w:caps w:val="false"/>
          <w:smallCaps w:val="false"/>
          <w:sz w:val="20"/>
        </w:rPr>
        <w:t>Compensation</w:t>
      </w:r>
      <w:r>
        <w:rPr>
          <w:rFonts w:ascii="Times New Roman;Times;Serif" w:hAnsi="Times New Roman;Times;Serif"/>
          <w:b w:val="false"/>
          <w:i w:val="false"/>
          <w:caps w:val="false"/>
          <w:smallCaps w:val="false"/>
          <w:sz w:val="20"/>
        </w:rPr>
        <w:t>” of an Eligible Employee shall mean, unless otherwise specified in the Offering Document, the gross cash compensation received by such Eligible Employee as compensation for services to the Company or any Designated Subsidiary, including prior week adjustment, and any salary or wages coded as “sick pay,” “holiday pay,” “vacation pay,” “jury duty pay” or “bereavement pay” in the Company’s payroll system, in each case, if applicable, but excluding periodic (e.g., annual or quarterly) bonuses, one-time bonuses (e.g., retention or sign on bonuses), commissions, overtime payments (including payments in lieu of meal breaks), military leave pay,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Employee’s benefit under any employee benefit plan now or hereafter established.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i/>
          <w:caps w:val="false"/>
          <w:smallCaps w:val="false"/>
          <w:sz w:val="20"/>
        </w:rPr>
        <w:t>Designated Subsidiary</w:t>
      </w:r>
      <w:r>
        <w:rPr>
          <w:rFonts w:ascii="Times New Roman;Times;Serif" w:hAnsi="Times New Roman;Times;Serif"/>
          <w:b w:val="false"/>
          <w:i w:val="false"/>
          <w:caps w:val="false"/>
          <w:smallCaps w:val="false"/>
          <w:sz w:val="20"/>
        </w:rPr>
        <w:t>” shall mean any Subsidiary designated by the Administrator in accordance with Section 11.2(b).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shall mean the date the Plan is approved by the Company’s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i/>
          <w:caps w:val="false"/>
          <w:smallCaps w:val="false"/>
          <w:sz w:val="20"/>
        </w:rPr>
        <w:t>Eligible Employee</w:t>
      </w:r>
      <w:r>
        <w:rPr>
          <w:rFonts w:ascii="Times New Roman;Times;Serif" w:hAnsi="Times New Roman;Times;Serif"/>
          <w:b w:val="false"/>
          <w:i w:val="false"/>
          <w:caps w:val="false"/>
          <w:smallCaps w:val="false"/>
          <w:sz w:val="20"/>
        </w:rPr>
        <w:t>” shall mean: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Employee who does not, immediately after any rights under this Plan are granted, own (directly or through attribution) stock possessing 5% or more of the total combined voting power or value of all classes of Common Stock and other stock of the Company, a Parent or a Subsidiary (as determined under Section 423(b)(3) of the Code). For purposes of the foregoing sentence, the rules of Section 424(d) of the Code with regard to the attribution of stock ownership shall apply in determining the stock ownership of an individual, and stock that an Employee may purchase under outstanding options shall be treated as stock owned by the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foregoing, the Administrator may provide in an Offering Document that an Employee shall not be eligible to participate in an Offering Period if: (i) such Employee is a highly compensated employee within the meaning of Section 423(b)(4)(D) of the Code, (ii) such Employee has not met a service requirement designated by the Administrator pursuant to Section 423(b)(4)(A) of the Code (which service requirement may not exceed two years), (iii) such Employee’s customary employment is for 20 hours or less per week, (iv) such Employee’s customary employment is for less than five months in any calendar year and/or (v) such Employee is a citizen or resident of a foreign jurisdiction and the grant of a right to purchase Common Stock under the Plan to such Employee would be prohibited under the laws of such foreign jurisdiction or the grant of a right to purchase Common Stock under the Plan to such Employee in compliance with the laws of such foreign jurisdiction would cause the Plan to violate the requirements of Section 423 of the Code, as determined by the Administrator in its sole discretion;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any exclusion in clauses (i), (ii), (iii), (iv) or (v) shall be applied in an identical manner under each Offering Period to all Employees, in accordance with Treasury Regulation Section 1.423-2(e).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shall mean individual who renders services to the Company or any Designated Subsidiary as an employee within the meaning of Section 3401(c) of the Code.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i/>
          <w:caps w:val="false"/>
          <w:smallCaps w:val="false"/>
          <w:sz w:val="20"/>
        </w:rPr>
        <w:t>Enrollment Date</w:t>
      </w:r>
      <w:r>
        <w:rPr>
          <w:rFonts w:ascii="Times New Roman;Times;Serif" w:hAnsi="Times New Roman;Times;Serif"/>
          <w:b w:val="false"/>
          <w:i w:val="false"/>
          <w:caps w:val="false"/>
          <w:smallCaps w:val="false"/>
          <w:sz w:val="20"/>
        </w:rPr>
        <w:t>” shall mean the first Trading Day of each Offering Period, unless otherwise specified in the Offering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shall mean the Securities Exchange Act of 1934,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xml:space="preserve">” shall mean,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or another source the Administrator deems reliable; or (c) without an established market for the Common Stock, the Administrator will determine the Fair Market Value in its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i/>
          <w:caps w:val="false"/>
          <w:smallCaps w:val="false"/>
          <w:sz w:val="20"/>
        </w:rPr>
        <w:t>Offering Document</w:t>
      </w:r>
      <w:r>
        <w:rPr>
          <w:rFonts w:ascii="Times New Roman;Times;Serif" w:hAnsi="Times New Roman;Times;Serif"/>
          <w:b w:val="false"/>
          <w:i w:val="false"/>
          <w:caps w:val="false"/>
          <w:smallCaps w:val="false"/>
          <w:sz w:val="20"/>
        </w:rPr>
        <w:t>” shall have the meaning given to such term in Section 4.1.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w:t>
      </w:r>
      <w:r>
        <w:rPr>
          <w:rFonts w:ascii="Times New Roman;Times;Serif" w:hAnsi="Times New Roman;Times;Serif"/>
          <w:b/>
          <w:i/>
          <w:caps w:val="false"/>
          <w:smallCaps w:val="false"/>
          <w:sz w:val="20"/>
        </w:rPr>
        <w:t>Offering Period</w:t>
      </w:r>
      <w:r>
        <w:rPr>
          <w:rFonts w:ascii="Times New Roman;Times;Serif" w:hAnsi="Times New Roman;Times;Serif"/>
          <w:b w:val="false"/>
          <w:i w:val="false"/>
          <w:caps w:val="false"/>
          <w:smallCaps w:val="false"/>
          <w:sz w:val="20"/>
        </w:rPr>
        <w:t>” shall have the meaning given to such term in Section 4.1.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shall mean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shall mean any Eligible Employee who has executed a subscription or enrollment agreement and been granted rights to purchase Common Stock pursuant to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shall mean this Merlin, Inc. 2026 Employee Stock Purchase Plan, as it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w:t>
      </w:r>
      <w:r>
        <w:rPr>
          <w:rFonts w:ascii="Times New Roman;Times;Serif" w:hAnsi="Times New Roman;Times;Serif"/>
          <w:b/>
          <w:i/>
          <w:caps w:val="false"/>
          <w:smallCaps w:val="false"/>
          <w:sz w:val="20"/>
        </w:rPr>
        <w:t>Purchase Date</w:t>
      </w:r>
      <w:r>
        <w:rPr>
          <w:rFonts w:ascii="Times New Roman;Times;Serif" w:hAnsi="Times New Roman;Times;Serif"/>
          <w:b w:val="false"/>
          <w:i w:val="false"/>
          <w:caps w:val="false"/>
          <w:smallCaps w:val="false"/>
          <w:sz w:val="20"/>
        </w:rPr>
        <w:t>” shall mean the last Trading Day of each Purchase Period, unless otherwise specified in the Offering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w:t>
      </w:r>
      <w:r>
        <w:rPr>
          <w:rFonts w:ascii="Times New Roman;Times;Serif" w:hAnsi="Times New Roman;Times;Serif"/>
          <w:b/>
          <w:i/>
          <w:caps w:val="false"/>
          <w:smallCaps w:val="false"/>
          <w:sz w:val="20"/>
        </w:rPr>
        <w:t>Purchase Period</w:t>
      </w:r>
      <w:r>
        <w:rPr>
          <w:rFonts w:ascii="Times New Roman;Times;Serif" w:hAnsi="Times New Roman;Times;Serif"/>
          <w:b w:val="false"/>
          <w:i w:val="false"/>
          <w:caps w:val="false"/>
          <w:smallCaps w:val="false"/>
          <w:sz w:val="20"/>
        </w:rPr>
        <w:t xml:space="preserve">” shall refer to one or more periods within an Offering Period, as designated in the applicable Offering Document;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no Purchase Period is designated by the Administrator in the applicable Offering Document, the Purchase Period for each Offering Period covered by such Offering Document shall be the same as the applicable Offering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w:t>
      </w:r>
      <w:r>
        <w:rPr>
          <w:rFonts w:ascii="Times New Roman;Times;Serif" w:hAnsi="Times New Roman;Times;Serif"/>
          <w:b/>
          <w:i/>
          <w:caps w:val="false"/>
          <w:smallCaps w:val="false"/>
          <w:sz w:val="20"/>
        </w:rPr>
        <w:t>Purchase Price</w:t>
      </w:r>
      <w:r>
        <w:rPr>
          <w:rFonts w:ascii="Times New Roman;Times;Serif" w:hAnsi="Times New Roman;Times;Serif"/>
          <w:b w:val="false"/>
          <w:i w:val="false"/>
          <w:caps w:val="false"/>
          <w:smallCaps w:val="false"/>
          <w:sz w:val="20"/>
        </w:rPr>
        <w:t xml:space="preserve">” shall mean the purchase price designated by the Administrator in the applicable Offering Document (which purchase price shall not be less than 85% of the Fair Market Value of a Share on the Enrollment Date or on the Purchase Date, whichever is lower);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Purchase Price may be adjusted by the Administrator pursuant to Article VIII and shall not be less than the par value of a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shall mean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w:t>
      </w:r>
      <w:r>
        <w:rPr>
          <w:rFonts w:ascii="Times New Roman;Times;Serif" w:hAnsi="Times New Roman;Times;Serif"/>
          <w:b/>
          <w:i/>
          <w:caps w:val="false"/>
          <w:smallCaps w:val="false"/>
          <w:sz w:val="20"/>
        </w:rPr>
        <w:t>Share</w:t>
      </w:r>
      <w:r>
        <w:rPr>
          <w:rFonts w:ascii="Times New Roman;Times;Serif" w:hAnsi="Times New Roman;Times;Serif"/>
          <w:b w:val="false"/>
          <w:i w:val="false"/>
          <w:caps w:val="false"/>
          <w:smallCaps w:val="false"/>
          <w:sz w:val="20"/>
        </w:rPr>
        <w:t>” shall mean a share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  “</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xml:space="preserve">” 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  “</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shall mean a day on which national stock exchanges in the United States are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SHARES SUBJECT TO THE PLAN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Subject to Article VIII, the aggregate number of Shares that may be issued pursuant to rights granted under the Plan shall be 2,241,484 Shares. In addition, subject to Article VIII, on the first day of each calendar year beginning on and including January 1, 2027 and ending on and including January 1, 2036, the number of Shares available for issuance under the Plan shall be increased by that number of Shares equal to (a) a number of Shares equal to 1% of the aggregate number of Shares outstanding on the final day of the immediately preceding calendar year or (b) such smaller number of Shares as is determined by the Board.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Plan shall not exceed an aggregate of 100,000,000 Shares, subject to Article VIII.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Stock Distributed</w:t>
      </w:r>
      <w:r>
        <w:rPr>
          <w:rFonts w:ascii="Times New Roman;Times;Serif" w:hAnsi="Times New Roman;Times;Serif"/>
          <w:b w:val="false"/>
          <w:i w:val="false"/>
          <w:caps w:val="false"/>
          <w:smallCaps w:val="false"/>
          <w:sz w:val="20"/>
        </w:rPr>
        <w:t>. Any Common Stock distributed pursuant to the Plan may consist, in whole or in part, of authorized and unissued Common Stock, treasury stock or Common Stock purchased on the open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Offering Periods; Offering Documents; Purchase dates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Offering Periods</w:t>
      </w:r>
      <w:r>
        <w:rPr>
          <w:rFonts w:ascii="Times New Roman;Times;Serif" w:hAnsi="Times New Roman;Times;Serif"/>
          <w:b w:val="false"/>
          <w:i w:val="false"/>
          <w:caps w:val="false"/>
          <w:smallCaps w:val="false"/>
          <w:sz w:val="20"/>
        </w:rPr>
        <w:t>. The Administrator may from time to time grant or provide for the grant of rights to purchase Shares under the Plan to Eligible Employees during one or more periods (each, an “</w:t>
      </w:r>
      <w:r>
        <w:rPr>
          <w:rFonts w:ascii="Times New Roman;Times;Serif" w:hAnsi="Times New Roman;Times;Serif"/>
          <w:b/>
          <w:i/>
          <w:caps w:val="false"/>
          <w:smallCaps w:val="false"/>
          <w:sz w:val="20"/>
        </w:rPr>
        <w:t>Offering Period</w:t>
      </w:r>
      <w:r>
        <w:rPr>
          <w:rFonts w:ascii="Times New Roman;Times;Serif" w:hAnsi="Times New Roman;Times;Serif"/>
          <w:b w:val="false"/>
          <w:i w:val="false"/>
          <w:caps w:val="false"/>
          <w:smallCaps w:val="false"/>
          <w:sz w:val="20"/>
        </w:rPr>
        <w:t>”) selected by the Administrator. The terms and conditions applicable to each Offering Period shall be set forth in an “</w:t>
      </w:r>
      <w:r>
        <w:rPr>
          <w:rFonts w:ascii="Times New Roman;Times;Serif" w:hAnsi="Times New Roman;Times;Serif"/>
          <w:b/>
          <w:i/>
          <w:caps w:val="false"/>
          <w:smallCaps w:val="false"/>
          <w:sz w:val="20"/>
        </w:rPr>
        <w:t>Offering Document</w:t>
      </w:r>
      <w:r>
        <w:rPr>
          <w:rFonts w:ascii="Times New Roman;Times;Serif" w:hAnsi="Times New Roman;Times;Serif"/>
          <w:b w:val="false"/>
          <w:i w:val="false"/>
          <w:caps w:val="false"/>
          <w:smallCaps w:val="false"/>
          <w:sz w:val="20"/>
        </w:rPr>
        <w:t>” adopted by the Administrator, which Offering Document shall be in such form and shall contain such terms and conditions as the Administrator shall deem appropriate.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 Periods under the Plan need not be identical.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Offering Documents</w:t>
      </w:r>
      <w:r>
        <w:rPr>
          <w:rFonts w:ascii="Times New Roman;Times;Serif" w:hAnsi="Times New Roman;Times;Serif"/>
          <w:b w:val="false"/>
          <w:i w:val="false"/>
          <w:caps w:val="false"/>
          <w:smallCaps w:val="false"/>
          <w:sz w:val="20"/>
        </w:rPr>
        <w:t>. Each Offering Document with respect to an Offering Period shall specify (through incorporation of the provisions of this Plan by reference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length of the Offering Period, which period shall not exceed 27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length of the Purchase Period(s) within the Offering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each Offering Period that contains only one Purchase Period the maximum number of Shares that may be purchased by any Eligible Employee during such Offering Period, which, in the absence of a contrary designation by the Administrator, shall be 5,000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connection with each Offering Period that contains more than one Purchase Period, the maximum aggregate number of Shares which may be purchased by any Eligible Employee during each Purchase Period, which, in the absence of a contrary designation by the Administrator, shall be 5,000 Shares;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other provisions as the Administrator determines are appropriate, subject to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ELIGIBILITY AND PARTICIPATION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Any Eligible Employee who shall be employed by the Company or a Designated Subsidiary on a given Enrollment Date for an Offering Period shall be eligible to participate in the Plan during such Offering Period, subject to the requirements of this Article V and the limitations imposed by Section 423(b) of the Code.</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Enrollment in Plan</w:t>
      </w:r>
      <w:r>
        <w:rPr>
          <w:rFonts w:ascii="Times New Roman;Times;Serif" w:hAnsi="Times New Roman;Times;Serif"/>
          <w:b w:val="false"/>
          <w:i w:val="false"/>
          <w:caps w:val="false"/>
          <w:smallCaps w:val="false"/>
          <w:sz w:val="20"/>
        </w:rPr>
        <w:t>.</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set forth herein or in an Offering Document or determined by the Administrator, an Eligible Employee may become a Participant in the Plan for an Offering Period by delivering a subscription or enrollment agreement to the Company by such time prior to the Enrollment Date for such Offering Period (or such other date specified in the Offering Document) designated by the Administrator and in such form as the Company provides.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determined by the Administrator, each subscription or enrollment agreement shall designate a whole percentage of such Eligible Employee’s Compensation to be withheld by the Company or the Designated Subsidiary employing such Eligible Employee on each payday during the Offering Period as payroll deductions under the Plan. The designated percentage may not be less than 1% and may not be more than the maximum percentage specified by the Administrator in the applicable Offering Document (which percentage shall be 20% in the absence of any such designation). The payroll deductions made for each Participant shall be credited to an account for such Participant under the Plan and shall be deposited with the general funds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Participant may be allowed to decrease or increase the percentage of Compensation designated in his or her subscription or enrollment agreement, or may suspend his or her payroll deductions, at any time during an Offering Period (any such decrease, increase or suspension, a “</w:t>
      </w:r>
      <w:r>
        <w:rPr>
          <w:rFonts w:ascii="Times New Roman;Times;Serif" w:hAnsi="Times New Roman;Times;Serif"/>
          <w:b/>
          <w:i/>
          <w:caps w:val="false"/>
          <w:smallCaps w:val="false"/>
          <w:sz w:val="20"/>
        </w:rPr>
        <w:t>Contribution Change</w:t>
      </w:r>
      <w:r>
        <w:rPr>
          <w:rFonts w:ascii="Times New Roman;Times;Serif" w:hAnsi="Times New Roman;Times;Serif"/>
          <w:b w:val="false"/>
          <w:i w:val="false"/>
          <w:caps w:val="false"/>
          <w:smallCaps w:val="false"/>
          <w:sz w:val="20"/>
        </w:rPr>
        <w:t xml:space="preserve">”) subject to any limits as set forth in the applicable Offering Document (and in the absence of any specific designation by the Administrator, a Participant shall not be allowed any Contribution Changes during an Offering Period with respect to such Offering Period). Any such Contribution Change shall be effective with the first full payroll period following 10 business days after the Company’s receipt of the new subscription or enrollment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otherwise set forth in Section 5.8 or in an Offering Document or determined by the Administrator, a Participant may participate in the Plan only by means of payroll deduction and may not make contributions by lump sum payment for any Offering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Payroll Deductions</w:t>
      </w:r>
      <w:r>
        <w:rPr>
          <w:rFonts w:ascii="Times New Roman;Times;Serif" w:hAnsi="Times New Roman;Times;Serif"/>
          <w:b w:val="false"/>
          <w:i w:val="false"/>
          <w:caps w:val="false"/>
          <w:smallCaps w:val="false"/>
          <w:sz w:val="20"/>
        </w:rPr>
        <w:t xml:space="preserve">. Except as otherwise provided in the applicable Offering Document, Section 5.8 or as determined by the Administrator,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Effect of Enrollment</w:t>
      </w:r>
      <w:r>
        <w:rPr>
          <w:rFonts w:ascii="Times New Roman;Times;Serif" w:hAnsi="Times New Roman;Times;Serif"/>
          <w:b w:val="false"/>
          <w:i w:val="false"/>
          <w:caps w:val="false"/>
          <w:smallCaps w:val="false"/>
          <w:sz w:val="20"/>
        </w:rPr>
        <w:t xml:space="preserve">. A Participant’s completion of a subscription or enrollment agreement will enroll such Participant in the Plan for each subsequent Offering Period on the terms contained therein until the Participant either submits a new subscription or enrollment agreement, withdraws from participation under the Plan as provided in Article VII or otherwise becomes ineligible to participate in the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Limitation on Purchase of Common Stock</w:t>
      </w:r>
      <w:r>
        <w:rPr>
          <w:rFonts w:ascii="Times New Roman;Times;Serif" w:hAnsi="Times New Roman;Times;Serif"/>
          <w:b w:val="false"/>
          <w:i w:val="false"/>
          <w:caps w:val="false"/>
          <w:smallCaps w:val="false"/>
          <w:sz w:val="20"/>
        </w:rPr>
        <w:t>. An Eligible Employee may be granted rights under the Plan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Suspension of Payroll Deductions</w:t>
      </w:r>
      <w:r>
        <w:rPr>
          <w:rFonts w:ascii="Times New Roman;Times;Serif" w:hAnsi="Times New Roman;Times;Serif"/>
          <w:b w:val="false"/>
          <w:i w:val="false"/>
          <w:caps w:val="false"/>
          <w:smallCaps w:val="false"/>
          <w:sz w:val="20"/>
        </w:rPr>
        <w:t>. Notwithstanding the foregoing, to the extent necessary to comply with Section 423(b)(8) of the Code and Section 5.5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Foreign Employees</w:t>
      </w:r>
      <w:r>
        <w:rPr>
          <w:rFonts w:ascii="Times New Roman;Times;Serif" w:hAnsi="Times New Roman;Times;Serif"/>
          <w:b w:val="false"/>
          <w:i w:val="false"/>
          <w:caps w:val="false"/>
          <w:smallCaps w:val="false"/>
          <w:sz w:val="20"/>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Leave of Absence</w:t>
      </w:r>
      <w:r>
        <w:rPr>
          <w:rFonts w:ascii="Times New Roman;Times;Serif" w:hAnsi="Times New Roman;Times;Serif"/>
          <w:b w:val="false"/>
          <w:i w:val="false"/>
          <w:caps w:val="false"/>
          <w:smallCaps w:val="false"/>
          <w:sz w:val="20"/>
        </w:rPr>
        <w:t>. During leaves of absence approved by the Company meeting the requirements of Treasury Regulation Section 1.421-1(h)(2) under the Code, a Participant may continue participation in the Plan by making cash payments to the Company on his or her normal payday equal to his or her authorized payroll deduction.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grant and Exercise of rights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Grant of Rights</w:t>
      </w:r>
      <w:r>
        <w:rPr>
          <w:rFonts w:ascii="Times New Roman;Times;Serif" w:hAnsi="Times New Roman;Times;Serif"/>
          <w:b w:val="false"/>
          <w:i w:val="false"/>
          <w:caps w:val="false"/>
          <w:smallCaps w:val="false"/>
          <w:sz w:val="20"/>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 (a) such Participant’s payroll deductions accumulated prior to such Purchase Date and retained in the Participant’s account as of the Purchase Date, by (b) the applicable Purchase Price (rounded down to the nearest Share). The right shall expire on the earliest of: (x) the last Purchase Date of such Offering Period, (y) last day of such Offering Period and (z) the date on which such Participant withdraws in accordance with Section 7.1 or Section 7.3.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Exercise of Rights</w:t>
      </w:r>
      <w:r>
        <w:rPr>
          <w:rFonts w:ascii="Times New Roman;Times;Serif" w:hAnsi="Times New Roman;Times;Serif"/>
          <w:b w:val="false"/>
          <w:i w:val="false"/>
          <w:caps w:val="false"/>
          <w:smallCaps w:val="false"/>
          <w:sz w:val="20"/>
        </w:rPr>
        <w:t xml:space="preserve">.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remaining after the purchase of Shares upon exercise of a purchase right (including any cash in lieu of fractional Shares) shall be returned to the Participant in one lump sum payment in a subsequent payroll check;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Administrator may provide in the applicable Offering Document that cash in lieu of fractional Shares should be carried forward and applied toward the purchase of whole Shares for the following Offering Period. Shares issued pursuant to the Plan may be evidenced in such manner as the Administrator may determine and may be issued in certificated form or issued pursuant to book-entry procedures.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Pro Rata Allocation of Shares</w:t>
      </w:r>
      <w:r>
        <w:rPr>
          <w:rFonts w:ascii="Times New Roman;Times;Serif" w:hAnsi="Times New Roman;Times;Serif"/>
          <w:b w:val="false"/>
          <w:i w:val="false"/>
          <w:caps w:val="false"/>
          <w:smallCaps w:val="false"/>
          <w:sz w:val="20"/>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Shares by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Conditions to Issuance of Common Stock</w:t>
      </w:r>
      <w:r>
        <w:rPr>
          <w:rFonts w:ascii="Times New Roman;Times;Serif" w:hAnsi="Times New Roman;Times;Serif"/>
          <w:b w:val="false"/>
          <w:i w:val="false"/>
          <w:caps w:val="false"/>
          <w:smallCaps w:val="false"/>
          <w:sz w:val="20"/>
        </w:rPr>
        <w:t xml:space="preserve">. The Company shall not be required to issue or deliver any certificate or certificates for, or make any book entries evidencing, Shares purchased upon the exercise of rights under the Plan prior to fulfillment of all of the following conditions: </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admission of such Shares to listing on all stock exchanges, if any, on which the Common Stock is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obtaining of any approval or other clearance from any state or federal governmental agency that the Administrator shall, in its absolute discretion, determine to be necessary or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payment to the Company of all amounts that it is required to withhold under federal, state or local law upon exercise of the rights, if 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lapse of such reasonable period of time following the exercise of the rights as the Administrator may from time to time establish for reasons of administrative convenience.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WITHDRAWAL; CESSATION OF ELIGIBILITY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Withdrawal</w:t>
      </w:r>
      <w:r>
        <w:rPr>
          <w:rFonts w:ascii="Times New Roman;Times;Serif" w:hAnsi="Times New Roman;Times;Serif"/>
          <w:b w:val="false"/>
          <w:i w:val="false"/>
          <w:caps w:val="false"/>
          <w:smallCaps w:val="false"/>
          <w:sz w:val="20"/>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two weeks prior to the end of the Offering Period or, if earlier, the end of the Purchase Period (or such shorter or longer period as may be specified by the Administrator in the Offering Document). All of the Participant’s payroll deductions credited to his or her account during the Offering Period not yet used to exercise his or her rights under the Plan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subscription or enrollment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Future Participation</w:t>
      </w:r>
      <w:r>
        <w:rPr>
          <w:rFonts w:ascii="Times New Roman;Times;Serif" w:hAnsi="Times New Roman;Times;Serif"/>
          <w:b w:val="false"/>
          <w:i w:val="false"/>
          <w:caps w:val="false"/>
          <w:smallCaps w:val="false"/>
          <w:sz w:val="20"/>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Cessation of Eligibility</w:t>
      </w:r>
      <w:r>
        <w:rPr>
          <w:rFonts w:ascii="Times New Roman;Times;Serif" w:hAnsi="Times New Roman;Times;Serif"/>
          <w:b w:val="false"/>
          <w:i w:val="false"/>
          <w:caps w:val="false"/>
          <w:smallCaps w:val="false"/>
          <w:sz w:val="20"/>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Adjustments upon Changes in Stock</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Changes in Capitalization</w:t>
      </w:r>
      <w:r>
        <w:rPr>
          <w:rFonts w:ascii="Times New Roman;Times;Serif" w:hAnsi="Times New Roman;Times;Serif"/>
          <w:b w:val="false"/>
          <w:i w:val="false"/>
          <w:caps w:val="false"/>
          <w:smallCaps w:val="false"/>
          <w:sz w:val="20"/>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Other Adjustments</w:t>
      </w:r>
      <w:r>
        <w:rPr>
          <w:rFonts w:ascii="Times New Roman;Times;Serif" w:hAnsi="Times New Roman;Times;Serif"/>
          <w:b w:val="false"/>
          <w:i w:val="false"/>
          <w:caps w:val="false"/>
          <w:smallCaps w:val="false"/>
          <w:sz w:val="20"/>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make adjustments in the number and type of Shares (or other securities or property) subject to outstanding rights under the Plan and/or in the terms and conditions of outstanding rights and rights that may be granted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provide that Participants’ accumulated payroll deductions may be used to purchase Common Stock prior to the next occurring Purchase Date on such date as the Administrator determines in its sole discretion and the Participants’ rights under the ongoing Offering Period(s) shall be terminated;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provide that all outstanding rights shall terminate without being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No Adjustment Under Certain Circumstances</w:t>
      </w:r>
      <w:r>
        <w:rPr>
          <w:rFonts w:ascii="Times New Roman;Times;Serif" w:hAnsi="Times New Roman;Times;Serif"/>
          <w:b w:val="false"/>
          <w:i w:val="false"/>
          <w:caps w:val="false"/>
          <w:smallCaps w:val="false"/>
          <w:sz w:val="20"/>
        </w:rPr>
        <w:t>. No adjustment or action described in this Article VIII or in any other provision of the Plan shall be authorized to the extent that such adjustment or action would cause the Plan to fail to satisfy the requirements of Section 423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No Other Rights</w:t>
      </w:r>
      <w:r>
        <w:rPr>
          <w:rFonts w:ascii="Times New Roman;Times;Serif" w:hAnsi="Times New Roman;Times;Serif"/>
          <w:b w:val="false"/>
          <w:i w:val="false"/>
          <w:caps w:val="false"/>
          <w:smallCaps w:val="false"/>
          <w:sz w:val="20"/>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Amendment, modification and termination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Amendment, Modification and Termination</w:t>
      </w:r>
      <w:r>
        <w:rPr>
          <w:rFonts w:ascii="Times New Roman;Times;Serif" w:hAnsi="Times New Roman;Times;Serif"/>
          <w:b w:val="false"/>
          <w:i w:val="false"/>
          <w:caps w:val="false"/>
          <w:smallCaps w:val="false"/>
          <w:sz w:val="20"/>
        </w:rPr>
        <w:t xml:space="preserve">. The Administrator may amend, suspend or terminate the Plan at any time and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approval of the Company’s stockholders shall be required to amend the Plan to: (a) increase the aggregate number, or change the type, of shares that may be sold pursuant to rights under the Plan under Section 3.1 (other than an adjustment as provided by Article VIII); (b) change the Plan in any manner that would be considered the adoption of a new plan within the meaning of Treasury regulation Section 1.423-2(c)(4); or (c) change the Plan in any manner that would cause the Plan to no longer be an “employee stock purchase plan” within the meaning of Section 423(b) of the Code.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Certain Changes to Plan</w:t>
      </w:r>
      <w:r>
        <w:rPr>
          <w:rFonts w:ascii="Times New Roman;Times;Serif" w:hAnsi="Times New Roman;Times;Serif"/>
          <w:b w:val="false"/>
          <w:i w:val="false"/>
          <w:caps w:val="false"/>
          <w:smallCaps w:val="false"/>
          <w:sz w:val="20"/>
        </w:rPr>
        <w:t xml:space="preserve">. Without stockholder consent and without regard to whether any Participant rights may be considered to have been adversely affected,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the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Actions In the Event of Unfavorable Financial Accounting Consequences</w:t>
      </w:r>
      <w:r>
        <w:rPr>
          <w:rFonts w:ascii="Times New Roman;Times;Serif" w:hAnsi="Times New Roman;Times;Serif"/>
          <w:b w:val="false"/>
          <w:i w:val="false"/>
          <w:caps w:val="false"/>
          <w:smallCaps w:val="false"/>
          <w:sz w:val="20"/>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altering the Purchase Price for any Offering Period including an Offering Period underway at the time of the change in Purchase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shortening any Offering Period so that the Offering Period ends on a new Purchase Date, including an Offering Period underway at the time of the Administrator action;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allocating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modifications or amendments shall not require stockholder approval or the consent of any Participant.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Payments Upon Termination of Plan</w:t>
      </w:r>
      <w:r>
        <w:rPr>
          <w:rFonts w:ascii="Times New Roman;Times;Serif" w:hAnsi="Times New Roman;Times;Serif"/>
          <w:b w:val="false"/>
          <w:i w:val="false"/>
          <w:caps w:val="false"/>
          <w:smallCaps w:val="false"/>
          <w:sz w:val="20"/>
        </w:rPr>
        <w:t>. Upon termination of the Plan, the balance in each Participant’s Plan account shall be refunded as soon as practicable after such termination, without any interest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TERM OF PLAN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effective on the Effective Date. The effectiveness of the Plan shall be subject to approval of the Plan by the stockholders of the Company within 12 months following the date the Plan is first approved by the Board. No right may be granted under the Plan prior to such stockholder approval. No rights may be granted under the Plan during any period of suspension of the Plan or after termination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br/>
        <w:t>ADMINISTRATION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Unless otherwise determined by the Board, the Administrator of the Plan shall be the Compensation Committee of the Board (or another committee or a subcommittee of the Board to which the Board delegates administration of the Plan) (such committee, the “</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xml:space="preserve">”). The Board may at any time vest in the Board any authority or duties for administration of the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val="false"/>
          <w:i w:val="false"/>
          <w:caps w:val="false"/>
          <w:smallCaps w:val="false"/>
          <w:sz w:val="20"/>
          <w:u w:val="single"/>
        </w:rPr>
        <w:t>Authority of Administrator</w:t>
      </w:r>
      <w:r>
        <w:rPr>
          <w:rFonts w:ascii="Times New Roman;Times;Serif" w:hAnsi="Times New Roman;Times;Serif"/>
          <w:b w:val="false"/>
          <w:i w:val="false"/>
          <w:caps w:val="false"/>
          <w:smallCaps w:val="false"/>
          <w:sz w:val="20"/>
        </w:rPr>
        <w:t>. The Administrator shall have the power, subject to, and within the limitations of, the express provisions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determine when and how rights to purchase Shares shall be granted and the provisions of each offering of such rights (which need not be identical).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designate from time to time which Subsidiaries of the Company shall be Designated Subsidiaries, which designation may be made without the approval of the stockholders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amend, suspend or terminate the Plan as provided in Article IX.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val="false"/>
          <w:i w:val="false"/>
          <w:caps w:val="false"/>
          <w:smallCaps w:val="false"/>
          <w:sz w:val="20"/>
          <w:u w:val="single"/>
        </w:rPr>
        <w:t>Decisions Binding</w:t>
      </w:r>
      <w:r>
        <w:rPr>
          <w:rFonts w:ascii="Times New Roman;Times;Serif" w:hAnsi="Times New Roman;Times;Serif"/>
          <w:b w:val="false"/>
          <w:i w:val="false"/>
          <w:caps w:val="false"/>
          <w:smallCaps w:val="false"/>
          <w:sz w:val="20"/>
        </w:rPr>
        <w:t>. The Administrator’s interpretation of the Plan, any rights granted pursuant to the Plan, any subscription or enrollment agreement and all decisions and determinations by the Administrator with respect to the Plan are final, binding, and conclusive on all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w:t>
      </w:r>
      <w:r>
        <w:rPr>
          <w:rFonts w:ascii="Times New Roman;Times;Serif" w:hAnsi="Times New Roman;Times;Serif"/>
          <w:b w:val="false"/>
          <w:i w:val="false"/>
          <w:caps w:val="false"/>
          <w:smallCaps w:val="false"/>
          <w:sz w:val="20"/>
          <w:u w:val="single"/>
        </w:rPr>
        <w:t>Restriction upon Assignment</w:t>
      </w:r>
      <w:r>
        <w:rPr>
          <w:rFonts w:ascii="Times New Roman;Times;Serif" w:hAnsi="Times New Roman;Times;Serif"/>
          <w:b w:val="false"/>
          <w:i w:val="false"/>
          <w:smallCaps/>
          <w:sz w:val="20"/>
        </w:rPr>
        <w:t xml:space="preserve">. </w:t>
      </w:r>
      <w:r>
        <w:rPr>
          <w:rFonts w:ascii="Times New Roman;Times;Serif" w:hAnsi="Times New Roman;Times;Serif"/>
          <w:b w:val="false"/>
          <w:i w:val="false"/>
          <w:caps w:val="false"/>
          <w:smallCaps w:val="false"/>
          <w:sz w:val="20"/>
        </w:rPr>
        <w:t xml:space="preserve">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val="false"/>
          <w:i w:val="false"/>
          <w:caps w:val="false"/>
          <w:smallCaps w:val="false"/>
          <w:sz w:val="20"/>
          <w:u w:val="single"/>
        </w:rPr>
        <w:t>Rights as a Stockholder</w:t>
      </w:r>
      <w:r>
        <w:rPr>
          <w:rFonts w:ascii="Times New Roman;Times;Serif" w:hAnsi="Times New Roman;Times;Serif"/>
          <w:b w:val="false"/>
          <w:i w:val="false"/>
          <w:caps w:val="false"/>
          <w:smallCaps w:val="false"/>
          <w:sz w:val="20"/>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No interest shall accrue on the payroll deductions or contributions of a Participant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12.4  </w:t>
      </w:r>
      <w:r>
        <w:rPr>
          <w:rFonts w:ascii="Times New Roman;Times;Serif" w:hAnsi="Times New Roman;Times;Serif"/>
          <w:b w:val="false"/>
          <w:i w:val="false"/>
          <w:caps w:val="false"/>
          <w:smallCaps w:val="false"/>
          <w:sz w:val="20"/>
          <w:u w:val="single"/>
        </w:rPr>
        <w:t>Designation of Beneficiary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12.6  </w:t>
      </w:r>
      <w:r>
        <w:rPr>
          <w:rFonts w:ascii="Times New Roman;Times;Serif" w:hAnsi="Times New Roman;Times;Serif"/>
          <w:b w:val="false"/>
          <w:i w:val="false"/>
          <w:caps w:val="false"/>
          <w:smallCaps w:val="false"/>
          <w:sz w:val="20"/>
          <w:u w:val="single"/>
        </w:rPr>
        <w:t>Equal Rights and Privileges</w:t>
      </w:r>
      <w:r>
        <w:rPr>
          <w:rFonts w:ascii="Times New Roman;Times;Serif" w:hAnsi="Times New Roman;Times;Serif"/>
          <w:b w:val="false"/>
          <w:i w:val="false"/>
          <w:caps w:val="false"/>
          <w:smallCaps w:val="false"/>
          <w:sz w:val="20"/>
        </w:rPr>
        <w:t xml:space="preserve">. Subject to Section 5.7, all Eligible Employees will have equal rights and privileges under this Plan so that this Plan qualifies as an “employee stock purchase plan” within the meaning of Section 423 of the Code. Subject to Section 5.7, any provision of this Plan that is inconsistent with Section 423 of the Code will, without further act or amendment by the Company, the Board or the Administrator, be reformed to comply with the equal rights and privileges requirement of Section 423 of the Code.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12.7  </w:t>
      </w:r>
      <w:r>
        <w:rPr>
          <w:rFonts w:ascii="Times New Roman;Times;Serif" w:hAnsi="Times New Roman;Times;Serif"/>
          <w:b w:val="false"/>
          <w:i w:val="false"/>
          <w:caps w:val="false"/>
          <w:smallCaps w:val="false"/>
          <w:sz w:val="20"/>
          <w:u w:val="single"/>
        </w:rPr>
        <w:t>Use of Funds</w:t>
      </w:r>
      <w:r>
        <w:rPr>
          <w:rFonts w:ascii="Times New Roman;Times;Serif" w:hAnsi="Times New Roman;Times;Serif"/>
          <w:b w:val="false"/>
          <w:i w:val="false"/>
          <w:caps w:val="false"/>
          <w:smallCaps w:val="false"/>
          <w:sz w:val="20"/>
        </w:rPr>
        <w:t>. All payroll deductions received or held by the Company under the Plan may be used by the Company for any corporate purpose, and the Company shall not be obligated to segregate such payroll deductions.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12.8  </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 If required by Applicable Law, statements of account shall be given to Participants at least annually, which statements shall set forth the amounts of payroll deductions, the Purchase Price, the number of Shares purchased and the remaining cash balance,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12.9  </w:t>
      </w:r>
      <w:r>
        <w:rPr>
          <w:rFonts w:ascii="Times New Roman;Times;Serif" w:hAnsi="Times New Roman;Times;Serif"/>
          <w:b w:val="false"/>
          <w:i w:val="false"/>
          <w:caps w:val="false"/>
          <w:smallCaps w:val="false"/>
          <w:sz w:val="20"/>
          <w:u w:val="single"/>
        </w:rPr>
        <w:t>No Employment Rights</w:t>
      </w:r>
      <w:r>
        <w:rPr>
          <w:rFonts w:ascii="Times New Roman;Times;Serif" w:hAnsi="Times New Roman;Times;Serif"/>
          <w:b w:val="false"/>
          <w:i w:val="false"/>
          <w:caps w:val="false"/>
          <w:smallCaps w:val="false"/>
          <w:sz w:val="20"/>
        </w:rPr>
        <w:t>. Nothing in the Plan shall be construed to give any person (including any Eligible Employee or Participant) the right to employment or service with (or to remain in the employ of) the Company or any Parent or Subsidiary thereof or affect the right of the Company or any Parent or Subsidiary thereof to terminate the employment of any person (including any Eligible Employee or Participant) at any time, with or without cause.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12.10  </w:t>
      </w:r>
      <w:r>
        <w:rPr>
          <w:rFonts w:ascii="Times New Roman;Times;Serif" w:hAnsi="Times New Roman;Times;Serif"/>
          <w:b w:val="false"/>
          <w:i w:val="false"/>
          <w:caps w:val="false"/>
          <w:smallCaps w:val="false"/>
          <w:sz w:val="20"/>
          <w:u w:val="single"/>
        </w:rPr>
        <w:t>Notice of Disposition of Shares</w:t>
      </w:r>
      <w:r>
        <w:rPr>
          <w:rFonts w:ascii="Times New Roman;Times;Serif" w:hAnsi="Times New Roman;Times;Serif"/>
          <w:b w:val="false"/>
          <w:i w:val="false"/>
          <w:caps w:val="false"/>
          <w:smallCaps w:val="false"/>
          <w:sz w:val="20"/>
        </w:rPr>
        <w:t>. Each Participant shall give prompt notice to the Company of any disposition or other transfer of any Shares purchased upon exercise of a right under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Plan and any agreements hereunder shall be administered, interpreted and enforced under the internal laws of the State of Delaware without regard to conflicts of laws thereof or of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12.12  </w:t>
      </w:r>
      <w:r>
        <w:rPr>
          <w:rFonts w:ascii="Times New Roman;Times;Serif" w:hAnsi="Times New Roman;Times;Serif"/>
          <w:b w:val="false"/>
          <w:i w:val="false"/>
          <w:caps w:val="false"/>
          <w:smallCaps w:val="false"/>
          <w:sz w:val="20"/>
          <w:u w:val="single"/>
        </w:rPr>
        <w:t>Electronic Forms</w:t>
      </w:r>
      <w:r>
        <w:rPr>
          <w:rFonts w:ascii="Times New Roman;Times;Serif" w:hAnsi="Times New Roman;Times;Serif"/>
          <w:b w:val="false"/>
          <w:i w:val="false"/>
          <w:caps w:val="false"/>
          <w:smallCaps w:val="false"/>
          <w:sz w:val="20"/>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right"/>
        <w:rPr>
          <w:b/>
        </w:rPr>
      </w:pPr>
      <w:bookmarkStart w:id="60" w:name="ea028257401ex10-9.htm"/>
      <w:bookmarkStart w:id="61" w:name="ksea028257401ex109"/>
      <w:bookmarkEnd w:id="60"/>
      <w:bookmarkEnd w:id="61"/>
      <w:r>
        <w:rPr>
          <w:b/>
        </w:rPr>
        <w:t>Exhibit 10.9</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 EQUITY INCENTIVE PLAN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Amended and Restated on March 16, 2026</w:t>
      </w:r>
    </w:p>
    <w:p>
      <w:pPr>
        <w:pStyle w:val="TextBody"/>
        <w:bidi w:val="0"/>
        <w:ind w:left="0" w:right="0" w:firstLine="720"/>
        <w:jc w:val="left"/>
        <w:rPr>
          <w:caps/>
        </w:rPr>
      </w:pPr>
      <w:r>
        <w:rPr>
          <w:caps/>
        </w:rPr>
        <w:t> </w:t>
      </w:r>
    </w:p>
    <w:p>
      <w:pPr>
        <w:pStyle w:val="TextBody"/>
        <w:bidi w:val="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1. </w:t>
      </w:r>
      <w:r>
        <w:rPr>
          <w:rFonts w:ascii="Times New Roman;Times;Serif" w:hAnsi="Times New Roman;Times;Serif"/>
          <w:b w:val="false"/>
          <w:i w:val="false"/>
          <w:caps/>
          <w:sz w:val="20"/>
          <w:u w:val="single"/>
        </w:rPr>
        <w:t>Purpose</w:t>
      </w:r>
      <w:r>
        <w:rPr>
          <w:rFonts w:ascii="Times New Roman;Times;Serif" w:hAnsi="Times New Roman;Times;Serif"/>
          <w:b w:val="false"/>
          <w:i w:val="false"/>
          <w:caps/>
          <w:sz w:val="20"/>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Plan is to advance the interests of the Company’s stockholders by enhancing the Company’s ability to attract, retain and motivate persons who make (or are expected to make) important contributions to the Company by providing such persons with equity ownership opportunities and thereby better aligning the interests of such persons with those of the Company’s stockholders. Capitalized terms used in the Plan are defined in Section 11 below.</w:t>
      </w:r>
    </w:p>
    <w:p>
      <w:pPr>
        <w:pStyle w:val="TextBody"/>
        <w:bidi w:val="0"/>
        <w:ind w:left="0" w:right="0" w:firstLine="720"/>
        <w:jc w:val="left"/>
        <w:rPr>
          <w:caps/>
        </w:rPr>
      </w:pPr>
      <w:r>
        <w:rPr>
          <w:caps/>
        </w:rPr>
        <w:t> </w:t>
      </w:r>
    </w:p>
    <w:p>
      <w:pPr>
        <w:pStyle w:val="TextBody"/>
        <w:bidi w:val="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2. </w:t>
      </w:r>
      <w:r>
        <w:rPr>
          <w:rFonts w:ascii="Times New Roman;Times;Serif" w:hAnsi="Times New Roman;Times;Serif"/>
          <w:b w:val="false"/>
          <w:i w:val="false"/>
          <w:caps/>
          <w:sz w:val="20"/>
          <w:u w:val="single"/>
        </w:rPr>
        <w:t>Eligibility</w:t>
      </w:r>
      <w:r>
        <w:rPr>
          <w:rFonts w:ascii="Times New Roman;Times;Serif" w:hAnsi="Times New Roman;Times;Serif"/>
          <w:b w:val="false"/>
          <w:i/>
          <w:caps/>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Providers are eligible to be granted Awards under the Plan, subject to the limitations described herein.</w:t>
      </w:r>
    </w:p>
    <w:p>
      <w:pPr>
        <w:pStyle w:val="TextBody"/>
        <w:bidi w:val="0"/>
        <w:ind w:left="0" w:right="0" w:firstLine="720"/>
        <w:jc w:val="left"/>
        <w:rPr>
          <w:caps/>
        </w:rPr>
      </w:pPr>
      <w:r>
        <w:rPr>
          <w:caps/>
        </w:rPr>
        <w:t> </w:t>
      </w:r>
    </w:p>
    <w:p>
      <w:pPr>
        <w:pStyle w:val="TextBody"/>
        <w:bidi w:val="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3. </w:t>
      </w:r>
      <w:r>
        <w:rPr>
          <w:rFonts w:ascii="Times New Roman;Times;Serif" w:hAnsi="Times New Roman;Times;Serif"/>
          <w:b w:val="false"/>
          <w:i w:val="false"/>
          <w:caps/>
          <w:sz w:val="20"/>
          <w:u w:val="single"/>
        </w:rPr>
        <w:t>Administration and Delegation</w:t>
      </w:r>
      <w:r>
        <w:rPr>
          <w:rFonts w:ascii="Times New Roman;Times;Serif" w:hAnsi="Times New Roman;Times;Serif"/>
          <w:b w:val="false"/>
          <w:i w:val="false"/>
          <w:caps/>
          <w:sz w:val="20"/>
        </w:rPr>
        <w:t xml:space="preserve">.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Administration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Plan will be administered by the Administrator. The Administrator shall have authority to determine which Service Providers will receive Awards, to grant Awards and to set all terms and conditions of Awards (including, but not limited to, vesting, exercise and forfeiture provisions). In addition, the Administrator shall have the authority to take all actions and make all determinations contemplated by the Plan and to adopt, amend and repeal such administrative rules, guidelines and practices relating to the Plan as it shall deem advisable. The Administrator may correct any defect or ambiguity, supply any omission or reconcile any inconsistency in the Plan or any Award in the manner and to the extent it shall deem necessary or appropriate to carry the Plan and any Awards into effect, as determined by the Administrator. The Administrator shall make all determinations under the Plan in the Administrator’s sole discretion and all such determinations shall be final and binding on all persons having or claiming any interest in the Plan or in any Award.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Appointment of Committees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To the extent permitted by Applicable Laws, the Board may delegate any or all of its powers under the Plan to one or more Committees. The Board may abolish any Committee at any time and re-vest in itself any previously delegated authority.</w:t>
      </w:r>
    </w:p>
    <w:p>
      <w:pPr>
        <w:pStyle w:val="TextBody"/>
        <w:bidi w:val="0"/>
        <w:ind w:left="0" w:right="0" w:firstLine="720"/>
        <w:jc w:val="left"/>
        <w:rPr>
          <w:caps/>
        </w:rPr>
      </w:pPr>
      <w:r>
        <w:rPr>
          <w:caps/>
        </w:rPr>
        <w:t> </w:t>
      </w:r>
    </w:p>
    <w:p>
      <w:pPr>
        <w:pStyle w:val="TextBody"/>
        <w:bidi w:val="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4. </w:t>
      </w:r>
      <w:r>
        <w:rPr>
          <w:rFonts w:ascii="Times New Roman;Times;Serif" w:hAnsi="Times New Roman;Times;Serif"/>
          <w:b w:val="false"/>
          <w:i w:val="false"/>
          <w:caps/>
          <w:sz w:val="20"/>
          <w:u w:val="single"/>
        </w:rPr>
        <w:t>Stock Available for Awards</w:t>
      </w:r>
      <w:r>
        <w:rPr>
          <w:rFonts w:ascii="Times New Roman;Times;Serif" w:hAnsi="Times New Roman;Times;Serif"/>
          <w:b w:val="false"/>
          <w:i w:val="false"/>
          <w:caps/>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Subject to adjustment under Section 8 hereof, Awards may be made under the Plan covering up to 10,386,879 shares of Common Stock. If any Award expires or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Substitute Awards</w:t>
      </w:r>
      <w:r>
        <w:rPr>
          <w:rFonts w:ascii="Times New Roman;Times;Serif" w:hAnsi="Times New Roman;Times;Serif"/>
          <w:b w:val="false"/>
          <w:i w:val="false"/>
          <w:caps w:val="false"/>
          <w:smallCaps w:val="false"/>
          <w:sz w:val="20"/>
        </w:rPr>
        <w:t>. In connection with a merger or consolidation of an entity with the Company or the acquisition by the Company of property or stock of an entity, the Administrator may grant Awards in substitution for any options or other stock or stock-based awards granted prior to such merger or consolidation by such entity or an affiliate thereof. Substitute Awards may be granted on such terms as the Administrator deems appropriate in the circumstances, notwithstanding any limitations on Awards contained in the Plan. Substitute Awards shall not count against the overall share limit set forth in Section 4.1 hereof, except as may be required by reason of Section 422 of the Code.</w:t>
      </w:r>
    </w:p>
    <w:p>
      <w:pPr>
        <w:pStyle w:val="TextBody"/>
        <w:bidi w:val="0"/>
        <w:ind w:left="0" w:right="0" w:firstLine="720"/>
        <w:jc w:val="left"/>
        <w:rPr>
          <w:caps/>
        </w:rPr>
      </w:pPr>
      <w:r>
        <w:rPr>
          <w:caps/>
        </w:rPr>
        <w:t> </w:t>
      </w:r>
    </w:p>
    <w:p>
      <w:pPr>
        <w:pStyle w:val="TextBody"/>
        <w:bidi w:val="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5. </w:t>
      </w:r>
      <w:r>
        <w:rPr>
          <w:rFonts w:ascii="Times New Roman;Times;Serif" w:hAnsi="Times New Roman;Times;Serif"/>
          <w:b w:val="false"/>
          <w:i w:val="false"/>
          <w:caps/>
          <w:sz w:val="20"/>
          <w:u w:val="single"/>
        </w:rPr>
        <w:t>Stock Options</w:t>
      </w:r>
      <w:r>
        <w:rPr>
          <w:rFonts w:ascii="Times New Roman;Times;Serif" w:hAnsi="Times New Roman;Times;Serif"/>
          <w:b w:val="false"/>
          <w:i w:val="false"/>
          <w:caps/>
          <w:sz w:val="20"/>
        </w:rPr>
        <w:t xml:space="preserve">.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Administrator may grant Options to any Service Provider, subject to the limitations on Incentive Stock Options described below. The Administrator shall determine the number of shares of Common Stock to be covered by each Option, the exercise price of each Option and the conditions and limitations applicable to the exercise of each Option, including conditions relating to Applicable Laws, as it considers necessary or advisable.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Incentive Stock Options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All Options intended to qualify as Incentive Stock Options shall be subject to and shall be construed consistently with the requirements of Section 422 of the Code. Neither the Company nor the Administrator shall have any liability to a Participant, or any other party, (i) if an Option (or any part thereof) which is intended to qualify as an Incentive Stock Option fails to qualify as an Incentive Stock Option or (ii) for any action or omission by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 Any Option that is intended to qualify as an Incentive Stock Option, but fails to so qualify for any reason, including without limitation, the portion of any Option becoming exercisable in excess of the $100,000 limitation described in Treasury Regulation Section 1.422-4, shall be treated as a Non-Qualified Stock Option for all purposes.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Administrator shall establish the exercise price of each Option and specify the exercise price in the applicable Award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per share exercise price shall be no less than 110% of the Fair Market Value on the date the Option is granted.</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Duration of Options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Each Option shall be exercisable at such times and subject to such terms and conditions as the Administrator may specify in the applicable Award Agreement,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term of any Option shall not exceed ten years.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term of the Option shall not exceed five years.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Exercise of Option; Notification of Disposition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Options may be exercised by delivery to the Company of a written notice of exercise, in a form approved by the Administrator (which may be an electronic form), signed by the person authorized to exercise the Option, together with payment in full (i) as specified in Section 5.6 hereof for the number of shares for which the Option is exercised and (ii) as specified in Section 9.5 hereof for any applicable withholding taxes. Unless otherwise determined by the Administrator, an Option may not be exercised for a fraction of a share of Common Stock.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Change in Control). Such notice shall specify the date of such disposition or other transfer and the amount realized, in cash, other property, assumption of indebtedness or other consideration, by the Participant in such disposition or other transfer.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Payment Upon Exercise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Common Stock purchased upon the exercise of an Option granted under the Plan shall be paid for in cash or by check, payable to the order of the Company, or, to the extent permitted by the Administrator, by:</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delivery of an irrevocable and unconditional undertaking by a broker acceptable to the Company to deliver promptly to the Company sufficient funds to pay the exercise price and any required tax withholding, or (B) delivery by the Participant to the Company of a copy of irrevocable and unconditional instructions to a broker acceptable to the Company to deliver promptly to the Company cash or a check sufficient to pay the exercise price and any required tax withholding;</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(either by actual delivery or attestation) of shares of Common Stock owned by the Participant valued at their Fair Market Value, provided (A) such method of payment is then permitted under Applicable Laws, (B) such Common Stock, if acquired directly from the Company, was owned by the Participant for such minimum period of time, if any, as may be established by the Company at any time, and (C) such Common Stock is not subject to any repurchase, forfeiture, unfulfilled vesting or other similar requirements;</w:t>
      </w:r>
    </w:p>
    <w:p>
      <w:pPr>
        <w:pStyle w:val="TextBody"/>
        <w:bidi w:val="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surrendering shares of Common Stock then issuable upon exercise of the Option valued at their Fair Market Value on the date of exercise;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delivery of a promissory note of the Participant to the Company on terms determined by the Administrator;</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delivery of property of any other kind which constitutes good and valuable consideration as determined by the Administrator; or</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combination of the above permitted forms of payment (including cash or check).</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Early Exercise of Options</w:t>
      </w:r>
      <w:r>
        <w:rPr>
          <w:rFonts w:ascii="Times New Roman;Times;Serif" w:hAnsi="Times New Roman;Times;Serif"/>
          <w:b w:val="false"/>
          <w:i w:val="false"/>
          <w:caps w:val="false"/>
          <w:smallCaps w:val="false"/>
          <w:sz w:val="20"/>
        </w:rPr>
        <w:t>. The Administrator may provide in the terms of an Award Agreement that the Service Provider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pStyle w:val="TextBody"/>
        <w:bidi w:val="0"/>
        <w:ind w:left="0" w:right="0" w:firstLine="720"/>
        <w:jc w:val="left"/>
        <w:rPr>
          <w:caps/>
        </w:rPr>
      </w:pPr>
      <w:r>
        <w:rPr>
          <w:caps/>
        </w:rPr>
        <w:t> </w:t>
      </w:r>
    </w:p>
    <w:p>
      <w:pPr>
        <w:pStyle w:val="TextBody"/>
        <w:bidi w:val="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6. </w:t>
      </w:r>
      <w:r>
        <w:rPr>
          <w:rFonts w:ascii="Times New Roman;Times;Serif" w:hAnsi="Times New Roman;Times;Serif"/>
          <w:b w:val="false"/>
          <w:i w:val="false"/>
          <w:caps/>
          <w:sz w:val="20"/>
          <w:u w:val="single"/>
        </w:rPr>
        <w:t>Restricted Stock; Restricted Stock Units</w:t>
      </w:r>
      <w:r>
        <w:rPr>
          <w:rFonts w:ascii="Times New Roman;Times;Serif" w:hAnsi="Times New Roman;Times;Serif"/>
          <w:b w:val="false"/>
          <w:i/>
          <w:caps/>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Administrator may grant Restricted Stock, or the right to purchase Restricted Stock, to any Service Provider, subject to the right of the Company to repurchase all or part of such shares at their issue price or other stated or formula price from the Participant (or to require forfeiture of such shares if issued at no cost) in the event that conditions specified by the Administrator in the applicable Award Agreement are not satisfied prior to the end of the applicable restriction period or periods established by the Administrator for such Award. In addition, the Administrator may grant to Service Providers Restricted Stock Units, which may be subject to vesting and forfeiture conditions during applicable restriction period or periods, as set forth in an applicable Award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Terms and Conditions for All Restricted Stock and Restricted Stock Unit Awards</w:t>
      </w:r>
      <w:r>
        <w:rPr>
          <w:rFonts w:ascii="Times New Roman;Times;Serif" w:hAnsi="Times New Roman;Times;Serif"/>
          <w:b w:val="false"/>
          <w:i w:val="false"/>
          <w:caps w:val="false"/>
          <w:smallCaps w:val="false"/>
          <w:sz w:val="20"/>
        </w:rPr>
        <w:t>. The Administrator shall determine and set forth in the applicable Award Agreement the terms and conditions applicable to each Restricted Stock and Restricted Stock Unit Award, including the conditions for vesting and repurchase (or forfeiture) and the issue price, in each case, if 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Additional Provisions Relating to Restricted Stock</w:t>
      </w:r>
      <w:r>
        <w:rPr>
          <w:rFonts w:ascii="Times New Roman;Times;Serif" w:hAnsi="Times New Roman;Times;Serif"/>
          <w:b w:val="false"/>
          <w:i w:val="false"/>
          <w:caps w:val="false"/>
          <w:smallCaps w:val="false"/>
          <w:sz w:val="20"/>
        </w:rPr>
        <w:t>.</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Participants holding shares of Restricted Stock will be entitled to all ordinary cash dividends paid with respect to such shares to the extent such dividends have a record date that is on or after the date on which the Participant to whom such Restricted Shares are granted becomes the record holder of such Restricted Shares, unless otherwise provided by the Administrator in the applicable Award Agreement. In addition, unless otherwise provided by the Administrator,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Each dividend payment will be made as provided in the applicable Award Agreement, but in no event later than the end of the calendar year in which the dividends are paid to stockholders of that class of stock or, if later, the 15th day of the third month following the later of (A) the date the dividends are paid to stockholders of that class of stock, and (B) the date the dividends are no longer subject to forfeiture.</w:t>
      </w:r>
    </w:p>
    <w:p>
      <w:pPr>
        <w:pStyle w:val="TextBody"/>
        <w:bidi w:val="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Stock Certificates</w:t>
      </w:r>
      <w:r>
        <w:rPr>
          <w:rFonts w:ascii="Times New Roman;Times;Serif" w:hAnsi="Times New Roman;Times;Serif"/>
          <w:b w:val="false"/>
          <w:i w:val="false"/>
          <w:caps w:val="false"/>
          <w:smallCaps w:val="false"/>
          <w:sz w:val="20"/>
        </w:rPr>
        <w:t>. The Company may require that any stock certificates issued in respect of shares of Restricted Stock be deposited in escrow by the Participant, together with a stock power endorsed in blank, with the Company (or its designee).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Additional Provisions Relating to Restricted Stock Units</w:t>
      </w:r>
      <w:r>
        <w:rPr>
          <w:rFonts w:ascii="Times New Roman;Times;Serif" w:hAnsi="Times New Roman;Times;Serif"/>
          <w:b w:val="false"/>
          <w:i w:val="false"/>
          <w:caps w:val="false"/>
          <w:smallCaps w:val="false"/>
          <w:sz w:val="20"/>
        </w:rPr>
        <w:t>.</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Settlement</w:t>
      </w:r>
      <w:r>
        <w:rPr>
          <w:rFonts w:ascii="Times New Roman;Times;Serif" w:hAnsi="Times New Roman;Times;Serif"/>
          <w:b w:val="false"/>
          <w:i w:val="false"/>
          <w:caps w:val="false"/>
          <w:smallCaps w:val="false"/>
          <w:sz w:val="20"/>
        </w:rPr>
        <w:t>. Upon the vesting of a Restricted Stock Unit, the Participant shall be entitled to receive from the Company one share of Common Stock or an amount of cash or other property equal to the Fair Market Value of one share of Common Stock on the settlement date, as the Administrator shall determine and as provided in the applicable Award Agreement. The Administrator may provide that settlement of Restricted Stock Units shall occur upon or as soon as reasonably practicable after the vesting of the Restricted Stock Units or shall instead be deferred, on a mandatory basis or at the election of the Participant, in a manner that complies with Section 409A.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A Participant shall have no voting rights with respect to any Restricted Stock Units unless and until shares are delivered in settlement thereof.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Dividend Equivalents</w:t>
      </w:r>
      <w:r>
        <w:rPr>
          <w:rFonts w:ascii="Times New Roman;Times;Serif" w:hAnsi="Times New Roman;Times;Serif"/>
          <w:b w:val="false"/>
          <w:i w:val="false"/>
          <w:caps w:val="false"/>
          <w:smallCaps w:val="false"/>
          <w:sz w:val="20"/>
        </w:rPr>
        <w:t>. To the extent provided by the Administrator, a grant of Restricted Stock Units may provide a Participant with the right to receive Dividend Equivalents. Dividend Equivalents may be paid currently or credited to an account for the Participant, may be settled in cash and/or shares of Common Stock and may be subject to the same restrictions on transfer and forfeitability as the Restricted Stock Units with respect to which the Dividend Equivalents are paid, as determined by the Administrator, subject, in each case, to such terms and conditions as the Administrator shall establish and set forth in the applicable Award Agreement.</w:t>
      </w:r>
    </w:p>
    <w:p>
      <w:pPr>
        <w:pStyle w:val="TextBody"/>
        <w:bidi w:val="0"/>
        <w:ind w:left="0" w:right="0" w:firstLine="720"/>
        <w:jc w:val="left"/>
        <w:rPr>
          <w:caps/>
        </w:rPr>
      </w:pPr>
      <w:r>
        <w:rPr>
          <w:caps/>
        </w:rPr>
        <w:t> </w:t>
      </w:r>
    </w:p>
    <w:p>
      <w:pPr>
        <w:pStyle w:val="TextBody"/>
        <w:bidi w:val="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7. </w:t>
      </w:r>
      <w:r>
        <w:rPr>
          <w:rFonts w:ascii="Times New Roman;Times;Serif" w:hAnsi="Times New Roman;Times;Serif"/>
          <w:b w:val="false"/>
          <w:i w:val="false"/>
          <w:caps/>
          <w:sz w:val="20"/>
          <w:u w:val="single"/>
        </w:rPr>
        <w:t>Other Stock-Based Awards</w:t>
      </w:r>
      <w:r>
        <w:rPr>
          <w:rFonts w:ascii="Times New Roman;Times;Serif" w:hAnsi="Times New Roman;Times;Serif"/>
          <w:b w:val="false"/>
          <w:i/>
          <w:caps/>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Stock-Based Awards may be granted hereunder to Participants, including, without limitation, Awards entitling Participants to receive shares of Common Stock to be delivered in the future. Such Other Stock-Based Awards shall also be available as a form of payment in the settlement of other Awards granted under the Plan, as stand-alone payments and/or as payment in lieu of compensation to which a Participant is otherwise entitled. Other Stock-Based Awards may be paid in shares of Common Stock, cash or other property, as the Administrator shall determine. Subject to the provisions of the Plan, the Administrator shall determine the terms and conditions of each Other Stock-Based Award, including any purchase price, transfer restrictions, vesting conditions and other terms and conditions applicable thereto, which shall be set forth in the applicable Award Agreement.</w:t>
      </w:r>
    </w:p>
    <w:p>
      <w:pPr>
        <w:pStyle w:val="TextBody"/>
        <w:bidi w:val="0"/>
        <w:ind w:left="0" w:right="0" w:firstLine="720"/>
        <w:jc w:val="left"/>
        <w:rPr>
          <w:caps/>
        </w:rPr>
      </w:pPr>
      <w:r>
        <w:rPr>
          <w:caps/>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ind w:left="0" w:right="0" w:firstLine="720"/>
        <w:jc w:val="left"/>
        <w:rPr>
          <w:caps/>
        </w:rPr>
      </w:pPr>
      <w:r>
        <w:rPr>
          <w:caps/>
        </w:rPr>
        <w:t> </w:t>
      </w:r>
    </w:p>
    <w:p>
      <w:pPr>
        <w:pStyle w:val="TextBody"/>
        <w:bidi w:val="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8. </w:t>
      </w:r>
      <w:r>
        <w:rPr>
          <w:rFonts w:ascii="Times New Roman;Times;Serif" w:hAnsi="Times New Roman;Times;Serif"/>
          <w:b w:val="false"/>
          <w:i w:val="false"/>
          <w:caps/>
          <w:sz w:val="20"/>
          <w:u w:val="single"/>
        </w:rPr>
        <w:t>Adjustments for Changes in Common Stock and Certain Other Events</w:t>
      </w:r>
      <w:r>
        <w:rPr>
          <w:rFonts w:ascii="Times New Roman;Times;Serif" w:hAnsi="Times New Roman;Times;Serif"/>
          <w:b w:val="false"/>
          <w:i/>
          <w:caps/>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In the event that the Administrator determines that any dividend or other distribution (whether in the form of cash, Common Stock, other securities, or other property), reorganization, merger,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Award, then the Administrator may, in such manner as it may deem equitable, adjust any or all of:</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number and kind of shares of Common Stock (or other securities or property) with respect to which Awards may be granted or awarded (including, but not limited to, adjustments of the limitations in Section 4 hereof on the maximum number and kind of shares which may be issued);</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number and kind of shares of Common Stock (or other securities or property) subject to outstanding Awards;</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grant or exercise price with respect to any Award; and</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terms and conditions of any Awards (including, without limitation, any applicable financial or other performance “targets” specified in an Award Agreement).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In the event of any transaction or event described in Section 8.1 hereof (including without limitation any Change in Control) or any unusual or nonrecurring transaction or event affecting the Company or the financial statements of the Company, or any change in any Applicable Laws or accounting principles, the Administrator,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r>
        <w:rPr>
          <w:rFonts w:ascii="Times New Roman;Times;Serif" w:hAnsi="Times New Roman;Times;Serif"/>
          <w:b/>
          <w:i w:val="false"/>
          <w:caps w:val="false"/>
          <w:smallCaps w:val="false"/>
          <w:sz w:val="20"/>
        </w:rPr>
        <w:t xml:space="preserve">: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if the amount that could have been obtained upon the exercise or settlement of the vested portion of such Award or realization of the Participant’s rights, in any case, is equal to or less than zero, then the vested portion of such Award may be terminated without payment;</w:t>
      </w:r>
    </w:p>
    <w:p>
      <w:pPr>
        <w:pStyle w:val="TextBody"/>
        <w:bidi w:val="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that such Award shall vest and, to the extent applicable, be exercisable as to all shares covered thereby, notwithstanding anything to the contrary in the Plan or the provisions of such Award;</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 applicable exercise or purchase price, in all cases, as determined by the Administrator;</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make adjustments in the number and type of shares of Common Stock (or other securities or property) subject to outstanding Awards, and/or in the terms and conditions of (including the grant or exercise price), and the criteria included in, outstanding Awards which may be granted in the future;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replace such Award with other rights or property selected by the Administrator; and/or</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that the Award will terminate and cannot vest, be exercised or become payable after the applicable event.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In connection with the occurrence of any Equity Restructuring, and notwithstanding anything to the contrary in this Section 8, the Administrator will equitably adjust each outstanding Award, which adjustments may include adjustments to the number and type of securities subject to each outstanding Award and/or the exercise price or grant price thereof, if applicable, the grant of new Awards to Participants, and/or the making of a cash payment to Participants, as the Administrator deems appropriate to reflect such Equity Restructuring. The adjustments provided under this Section 8.3 shall be nondiscretionary and shall be final and binding on the affected Participant and the Company;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whether an adjustment is equitable shall be determined by the Administrator.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In the event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Equity Restructuring, for reasons of administrative convenience the Administrator may refuse to permit the exercise of any Award during a period of up to 30 days prior to the consummation of any such transaction.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Except as expressly provided in the Plan or pursuant to action of the Administrator under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of Common Stock subject to an Award or the grant or exercise price of any Award. The existence of the Plan, any Award Agreements and the Awards granted hereunder shall not affect or restrict in any way the right or power of the Company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without limitation, securities with rights superior to those of the Common Stock or which are convertible into or exchangeable for Common Stock. The Administrator may treat Participants and Awards (or portions thereof) differently under this Section 8.</w:t>
      </w:r>
    </w:p>
    <w:p>
      <w:pPr>
        <w:pStyle w:val="TextBody"/>
        <w:bidi w:val="0"/>
        <w:ind w:left="0" w:right="0" w:firstLine="720"/>
        <w:jc w:val="left"/>
        <w:rPr>
          <w:caps/>
        </w:rPr>
      </w:pPr>
      <w:r>
        <w:rPr>
          <w:caps/>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ind w:left="0" w:right="0" w:firstLine="720"/>
        <w:jc w:val="left"/>
        <w:rPr>
          <w:caps/>
        </w:rPr>
      </w:pPr>
      <w:r>
        <w:rPr>
          <w:caps/>
        </w:rPr>
        <w:t> </w:t>
      </w:r>
    </w:p>
    <w:p>
      <w:pPr>
        <w:pStyle w:val="TextBody"/>
        <w:bidi w:val="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9. </w:t>
      </w:r>
      <w:r>
        <w:rPr>
          <w:rFonts w:ascii="Times New Roman;Times;Serif" w:hAnsi="Times New Roman;Times;Serif"/>
          <w:b w:val="false"/>
          <w:i w:val="false"/>
          <w:caps/>
          <w:sz w:val="20"/>
          <w:u w:val="single"/>
        </w:rPr>
        <w:t>General Provisions Applicable to Awards</w:t>
      </w:r>
      <w:r>
        <w:rPr>
          <w:rFonts w:ascii="Times New Roman;Times;Serif" w:hAnsi="Times New Roman;Times;Serif"/>
          <w:b w:val="false"/>
          <w:i/>
          <w:caps/>
          <w:sz w:val="20"/>
        </w:rPr>
        <w:t xml:space="preserve">.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Except as the Administrator may otherwise determine or provide in an Award Agreement or otherwise, in any case in accordance with Applicable Laws,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Documentation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Each Award shall be evidenced in an Award Agreement, which may be in such form (written, electronic or otherwise) as the Administrator shall determine. Each Award may contain terms and conditions in addition to those set forth in the Plan.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Discretion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Except as otherwise provided by the Plan, each Award may be made alone or in addition or in relation to any other Award. The terms of each Award to a Participant need not be identical, and the Administrator need not treat Participants or Awards (or portions thereof) uniformly.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Termination of Status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Administrator shall determine the effect on an Award of the disability, death, retirement, authorized leave of absence or any other change or purported change in a Participant’s Service Provider status and the extent to which, and the period during which, the Participant, the Participant’s legal representative, conservator, guardian or Designated Beneficiary may exercise rights under the Award, if applicable.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Each Participant shall pay to the Company, or make provision satisfactory to the Administrator for payment of, any taxes required by law to be withheld in connection with Awards to such Participant no later than the date of the event creating the tax liability. Except as the Administrator may otherwise determine, all such payments shall be made in cash or by certified check. Notwithstanding the foregoing, to the extent permitted by the Administrator, Participants may satisfy such tax obligations in whole or in part by delivery of shares of Common Stock, including shares retained from the Award creating the tax obligation, valued at their Fair Market Value. The Company may, to the extent permitted by Applicable Laws, deduct any such tax obligations from any payment of any kind otherwise due to a Participant.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Amendment of Award; Repricing</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Participant’s consent to such action shall be required unless (i) the Administrator determines that the action, taking into account any related action, would not materially and adversely affect the Participant, or (ii) the change is permitted under Section 8 and 10.6 hereof. Notwithstanding the foregoing or anything in the Plan to the contrary, the Administrator may, without the approval of the stockholders of the Company, reduce the exercise price per share of outstanding Options or cancel outstanding Options in exchange for cash, other Awards or Options with an exercise price per share that is less than the exercise price per share of the original Options.</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Conditions on Delivery of Stock</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Administrator deems necessary or appropriate to satisfy the requirements of any Applicable Laws. The inability of the Company to obtain authority from any regulatory body having jurisdiction, which authority is determined by the Administrator to be necessary to the lawful issuance and sale of any securities hereunder, shall relieve the Company of any liability in respect of the failure to issue or sell such shares as to which such requisite authority shall not have been obtained.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Acceleration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Administrator may at any time provide that any Award shall become immediately vested and/or exercisable in full or in part, free of some or all restrictions or conditions, or otherwise realizable in full or in part, as the case may be.</w:t>
      </w:r>
    </w:p>
    <w:p>
      <w:pPr>
        <w:pStyle w:val="TextBody"/>
        <w:bidi w:val="0"/>
        <w:ind w:left="0" w:right="0" w:firstLine="720"/>
        <w:jc w:val="left"/>
        <w:rPr>
          <w:caps/>
        </w:rPr>
      </w:pPr>
      <w:r>
        <w:rPr>
          <w:caps/>
        </w:rPr>
        <w:t> </w:t>
      </w:r>
    </w:p>
    <w:p>
      <w:pPr>
        <w:pStyle w:val="TextBody"/>
        <w:bidi w:val="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10. </w:t>
      </w:r>
      <w:r>
        <w:rPr>
          <w:rFonts w:ascii="Times New Roman;Times;Serif" w:hAnsi="Times New Roman;Times;Serif"/>
          <w:b w:val="false"/>
          <w:i w:val="false"/>
          <w:caps/>
          <w:sz w:val="20"/>
          <w:u w:val="single"/>
        </w:rPr>
        <w:t>Miscellaneous</w:t>
      </w:r>
      <w:r>
        <w:rPr>
          <w:rFonts w:ascii="Times New Roman;Times;Serif" w:hAnsi="Times New Roman;Times;Serif"/>
          <w:b w:val="false"/>
          <w:i/>
          <w:caps/>
          <w:sz w:val="20"/>
        </w:rPr>
        <w:t xml:space="preserve">.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No Right To Employment or Other Status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applicable Award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No Rights As Stockholder; Certificates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Subject to the provisions of the applicable Award Agreement, no Participant or Designated Beneficiary shall have any rights as a stockholder with respect to any shares of Common Stock to be distributed with respect to an Award until becoming the record holder of such shares. Notwithstanding any other provision of the Plan, unless otherwise determined by the Administrator or required by any Applicable Laws, the Company shall not be required to deliver to any Participant certificates evidencing shares of Common Stock issued in connection with any Award and instead such shares of Common Stock may be recorded in the books of the Company (or, as applicable, its transfer agent or stock plan administrator). The Company may place legends on any stock certificates issued under the Plan deemed necessary or appropriate by the Administrator in order to comply with Applicable Laws.</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Effective Date and Term of Plan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Plan (as amended and restated) was effective as of March 16, 2026 and terminated automatically upon the effectiveness of the Company’s 2026 Incentive Award Plan on March 16, 2026. No Awards shall be granted under the Plan after the termination of the Plan. However, any Awards that, by their terms, remain outstanding as of the termination of the Plan shall remain outstanding and in full force and effect, and the terms and condition of the Plan shall survive its termination and continue to apply to any such Awards.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Amendment of Plan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Administrator may amend, suspend or terminate the Plan or any portion thereof at any time;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no amendment of the Plan shall materially and adversely affect any Award outstanding at the time of such amendment without the consent of the affected Participant. Awards outstanding under the Plan at the time of any suspension or termination of the Plan shall continue to be governed in accordance with the terms of the Plan and the applicable Award Agreement, as in effect prior to such suspension or termination. The Board shall obtain stockholder approval of any Plan amendment to the extent necessary to comply with Applicable Laws.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val="false"/>
          <w:i w:val="false"/>
          <w:caps w:val="false"/>
          <w:smallCaps w:val="false"/>
          <w:sz w:val="20"/>
          <w:u w:val="single"/>
        </w:rPr>
        <w:t>Provisions for Foreign Participants</w:t>
      </w:r>
      <w:r>
        <w:rPr>
          <w:rFonts w:ascii="Times New Roman;Times;Serif" w:hAnsi="Times New Roman;Times;Serif"/>
          <w:b w:val="false"/>
          <w:i w:val="false"/>
          <w:caps w:val="false"/>
          <w:smallCaps w:val="false"/>
          <w:sz w:val="20"/>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The Company intends that all Awards be structured in compliance with, or to satisfy an exemption from, Section 409A, such that no adverse tax consequences, interest, or penalties under Section 409A apply in connection with any Awards. Notwithstanding anything herein or in any Award Agreement to the contrary, the Administrator may, without a Participant’s prior consent, amend this Plan and/or Awards, adopt policies and procedures, or take any other actions (including amendments, policies, procedures and actions with retroactive effect) as are necessary or appropriate to preserve the intended tax treatment of Awards under the Plan, including without limitation, any such actions intended to (A) exempt this Plan and/or any Award from the application of Section 409A, and/or (B) comply with the requirements of Section 409A, including without limitation any such regulations, guidance, compliance programs and other interpretative authority that may be issued after the date of grant of any Award. The Company makes no representations or warranties as to the tax treatment of any Award under Section 409A or otherwise. The Company shall have no obligation under this Section 10.6 or otherwise to take any action (whether or not described herein) to avoid the imposition of taxes, penalties or interest under Section 409A with respect to any Award and shall have no liability to any Participant or any other person if any Award, compensation or other benefits under the Plan are determined to constitute non-compliant, “nonqualified deferred compensation” subject to the imposition of taxes, penalties and/or interest under Section 409A.</w:t>
      </w:r>
    </w:p>
    <w:p>
      <w:pPr>
        <w:pStyle w:val="TextBody"/>
        <w:bidi w:val="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Separation from Service</w:t>
      </w:r>
      <w:r>
        <w:rPr>
          <w:rFonts w:ascii="Times New Roman;Times;Serif" w:hAnsi="Times New Roman;Times;Serif"/>
          <w:b w:val="false"/>
          <w:i w:val="false"/>
          <w:caps w:val="false"/>
          <w:smallCaps w:val="false"/>
          <w:sz w:val="20"/>
        </w:rPr>
        <w:t>. With respect to any Award that constitutes “nonqualified deferred compensation” under Section 409A, any payment or settlement of such Award that is to be made upon a termination of a Participant’s Service Provider relationship shall, to the extent necessary to avoid the imposition of taxes under Section 409A, be made only upon the Participant’s “separation from service” (within the meaning of Section 409A), whether such “separation from service” occurs upon or subsequent to the termination of the Participant’s Service Provider relationship. For purposes of any such provision of this Plan or any Award Agreement relating to any such payments or benefits, references to a “termination,” “termination of employment” or like terms shall mean “separation from service.”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Payments to Specified Employees</w:t>
      </w:r>
      <w:r>
        <w:rPr>
          <w:rFonts w:ascii="Times New Roman;Times;Serif" w:hAnsi="Times New Roman;Times;Serif"/>
          <w:b w:val="false"/>
          <w:i w:val="false"/>
          <w:caps w:val="false"/>
          <w:smallCaps w:val="false"/>
          <w:sz w:val="20"/>
        </w:rPr>
        <w:t xml:space="preserve">. Notwithstanding any contrary provision in </w:t>
      </w:r>
      <w:r>
        <w:rPr>
          <w:rFonts w:ascii="Times New Roman;Times;Serif" w:hAnsi="Times New Roman;Times;Serif"/>
          <w:b w:val="false"/>
          <w:i/>
          <w:caps w:val="false"/>
          <w:smallCaps w:val="false"/>
          <w:sz w:val="20"/>
        </w:rPr>
        <w:t>the</w:t>
      </w:r>
      <w:r>
        <w:rPr>
          <w:rFonts w:ascii="Times New Roman;Times;Serif" w:hAnsi="Times New Roman;Times;Serif"/>
          <w:b w:val="false"/>
          <w:i w:val="false"/>
          <w:caps w:val="false"/>
          <w:smallCaps w:val="false"/>
          <w:sz w:val="20"/>
        </w:rPr>
        <w:t xml:space="preserve"> Plan or any Award Agreement, any payment(s) of “nonqualified deferred compensation” that are otherwise required to be made under an Award to a “specified employee” (as defined under Section 409A and determined by the Administrator) as a result of his or her “separation from service” shall, to the extent necessary to avoid the imposition of taxes under Code Section 409A(a)(2)(B)(i), be delayed until the expiration of the six-month period immediately following such “separation from service” (or, if earlier, until the date of death of the specified employee) and shall instead be paid (in a manner set forth in the Award agreement) on the day that immediately follows the end of such six-month period or as soon as administratively practicable thereafter (without interest). Any payments of “nonqualified deferred compensation” under such Award that are, by their terms, payable more than six months following the Participant’s “separation from service” shall be paid at the time or times such payments are otherwise scheduled to be made.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val="false"/>
          <w:i w:val="false"/>
          <w:caps w:val="false"/>
          <w:smallCaps w:val="false"/>
          <w:sz w:val="20"/>
          <w:u w:val="single"/>
        </w:rPr>
        <w:t>Limitations on Liability</w:t>
      </w:r>
      <w:r>
        <w:rPr>
          <w:rFonts w:ascii="Times New Roman;Times;Serif" w:hAnsi="Times New Roman;Times;Serif"/>
          <w:b w:val="false"/>
          <w:i w:val="false"/>
          <w:caps w:val="false"/>
          <w:smallCaps w:val="false"/>
          <w:sz w:val="20"/>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 in connection with the Plan or any Award, nor will such individual be personally liable with respect to the Plan because of any contract or other instrument he or she executes in his or her capacity as an Administrator, director, officer, other employee or agent of the Company. The Company will indemnify and hold harmless each director, officer, other employee and agent of the Company to whom any duty or power relating to the administration or interpretation of the Plan has been or will be granted or delegated, against any cost or expense (including attorneys’ fees) or liability (including any sum paid in settlement of a claim with the Administrator’s approval) arising out of any act or omission to act concerning this Plan unless arising out of such person’s own fraud or bad faith. </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Participants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FINRA Rule 2241, or any successor provisions or amendments thereto). Participants shall execute and deliver such other agreements as may be reasonably requested by the Company or the underwriter which are consistent with the foregoing or which are necessary to give further effect thereto. The obligations described in this Section 10.8 shall not apply to a registration relating solely to employee benefit plans on Form S-1 or Form S-8 or similar forms that may be promulgated in the future, or a registration relating solely to a Securities and Exchange Commission Rule 145 transaction on Form S-4 or similar forms that may be promulgated in the future. The Company may impose stop-transfer instructions with respect to the shares of Common Stock (or other securities) subject to the foregoing restriction until the end of said 180 day (or other) period.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w:t>
      </w:r>
      <w:r>
        <w:rPr>
          <w:rFonts w:ascii="Times New Roman;Times;Serif" w:hAnsi="Times New Roman;Times;Serif"/>
          <w:b w:val="false"/>
          <w:i w:val="false"/>
          <w:caps w:val="false"/>
          <w:smallCaps w:val="false"/>
          <w:sz w:val="20"/>
          <w:u w:val="single"/>
        </w:rPr>
        <w:t>Limitations on Transfer</w:t>
      </w:r>
      <w:r>
        <w:rPr>
          <w:rFonts w:ascii="Times New Roman;Times;Serif" w:hAnsi="Times New Roman;Times;Serif"/>
          <w:b w:val="false"/>
          <w:i w:val="false"/>
          <w:caps w:val="false"/>
          <w:smallCaps w:val="false"/>
          <w:sz w:val="20"/>
        </w:rPr>
        <w:t>. A Participant shall not sell, assign, transfer, pledge, hypothecate or otherwise dispose of, by operation of law or otherwise (collectively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any interest in any shares of Common Stock held by Participant except in compliance with the provisions herein, in the Company’s Bylaws and applicable securities laws. Furthermore, the shares of Common Stock shall be subject to a right of first refusal in favor of the Company or its assignees as set forth in the Company’s Bylaws. Notwithstanding the foregoing, Participant may, subject to compliance with the transfer restrictions set forth in the Company’s Bylaws, transfer shares of Common Stock to or for the benefit of any spouse, children, parents, uncles, aunts, siblings, grandchildren and any other relatives approved by the Board of Directors (collectively, “</w:t>
      </w:r>
      <w:r>
        <w:rPr>
          <w:rFonts w:ascii="Times New Roman;Times;Serif" w:hAnsi="Times New Roman;Times;Serif"/>
          <w:b w:val="false"/>
          <w:i w:val="false"/>
          <w:caps w:val="false"/>
          <w:smallCaps w:val="false"/>
          <w:sz w:val="20"/>
          <w:u w:val="single"/>
        </w:rPr>
        <w:t>Approved Relatives</w:t>
      </w:r>
      <w:r>
        <w:rPr>
          <w:rFonts w:ascii="Times New Roman;Times;Serif" w:hAnsi="Times New Roman;Times;Serif"/>
          <w:b w:val="false"/>
          <w:i w:val="false"/>
          <w:caps w:val="false"/>
          <w:smallCaps w:val="false"/>
          <w:sz w:val="20"/>
        </w:rPr>
        <w:t xml:space="preserve">”) or to a trust established solely for the benefit of the Participant and/or Approved Relatives,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shares of Common Stock shall remain subject to the provisions of this Plan and any other applicable agreements, and such permitted transferee shall, as a condition to such transfer, deliver to the Company a written instrument confirming that such transferee shall be bound by all of the terms and conditions of this Plan and any other applicable agreements. The Company shall not be required (a) to transfer on its books any of the shares of Common Stock that have been sold or otherwise transferred in violation of any of the provisions of this Plan, any other applicable agreement or the provisions of the Company’s Bylaws or (b) to treat as owner of such shares of Common Stock or to accord the right to vote or pay dividends to any purchaser or other transferee to whom any such shares of Common Stock shall have been so sold or transferred.</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Times New Roman;Times;Serif" w:hAnsi="Times New Roman;Times;Serif"/>
          <w:b w:val="false"/>
          <w:i w:val="false"/>
          <w:caps w:val="false"/>
          <w:smallCaps w:val="false"/>
          <w:sz w:val="20"/>
          <w:u w:val="single"/>
        </w:rPr>
        <w:t>Data</w:t>
      </w:r>
      <w:r>
        <w:rPr>
          <w:rFonts w:ascii="Times New Roman;Times;Serif" w:hAnsi="Times New Roman;Times;Serif"/>
          <w:b w:val="false"/>
          <w:i w:val="false"/>
          <w:caps w:val="false"/>
          <w:smallCaps w:val="false"/>
          <w:sz w:val="20"/>
        </w:rPr>
        <w:t>”).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Administrator’s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any portion of the Plan or any action taken pursuant thereto shall be held illegal or invalid for any reason, the illegality or invalidity shall not affect the remaining parts of the Plan, and the Plan shall be construed and enforced as if the illegal or invalid provisions had not been included, and the illegal or invalid action shall be null and void.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In the event of any contradiction between the Plan and any Award Agreement or any other written agreement between a Participant and the Company or any Subsidiary of the Company that has been approved by the Administrator, the terms of the Plan shall govern, unless it is expressly specified in such Award Agreement or other written document that a specific provision of the Plan shall not apply.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w:t>
      </w:r>
      <w:r>
        <w:rPr>
          <w:rFonts w:ascii="Times New Roman;Times;Serif" w:hAnsi="Times New Roman;Times;Serif"/>
          <w:b w:val="false"/>
          <w:i w:val="false"/>
          <w:caps w:val="false"/>
          <w:smallCaps w:val="false"/>
          <w:sz w:val="20"/>
          <w:u w:val="single"/>
        </w:rPr>
        <w:t>Submission to Jurisdiction; Waiver of Jury Trial</w:t>
      </w:r>
      <w:r>
        <w:rPr>
          <w:rFonts w:ascii="Times New Roman;Times;Serif" w:hAnsi="Times New Roman;Times;Serif"/>
          <w:b w:val="false"/>
          <w:i w:val="false"/>
          <w:caps w:val="false"/>
          <w:smallCaps w:val="false"/>
          <w:sz w:val="20"/>
        </w:rPr>
        <w:t>.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provisions of the Plan and all Awards made hereunder shall be governed by and interpreted in accordance with the laws of the State of Delaware, disregarding choice-of-law principles of the law of any state that would require the application of the laws of a jurisdiction other than such state.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w:t>
      </w:r>
      <w:r>
        <w:rPr>
          <w:rFonts w:ascii="Times New Roman;Times;Serif" w:hAnsi="Times New Roman;Times;Serif"/>
          <w:b w:val="false"/>
          <w:i w:val="false"/>
          <w:caps w:val="false"/>
          <w:smallCaps w:val="false"/>
          <w:sz w:val="20"/>
          <w:u w:val="single"/>
        </w:rPr>
        <w:t>Restrictions on Shares; Claw-back Provisions</w:t>
      </w:r>
      <w:r>
        <w:rPr>
          <w:rFonts w:ascii="Times New Roman;Times;Serif" w:hAnsi="Times New Roman;Times;Serif"/>
          <w:b w:val="false"/>
          <w:i w:val="false"/>
          <w:caps w:val="false"/>
          <w:smallCaps w:val="false"/>
          <w:sz w:val="20"/>
        </w:rPr>
        <w:t>. Shares of Common Stock acquired in respect of Awards shall be subject to such terms and conditions as the Administrator shall determine,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Administrator, be contained in the applicable Award Agreement or in an exercise notice, stockholders’ agreement or in such other agreement as the Administrator shall determine, in each case in a form determined by the Administrator. The issuance of such shares of Common Stock shall be conditioned on the Participant’s consent to such terms and conditions and the Participant’s entering into such agreement or agreements. All Awards (including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10.16 </w:t>
      </w:r>
      <w:r>
        <w:rPr>
          <w:rFonts w:ascii="Times New Roman;Times;Serif" w:hAnsi="Times New Roman;Times;Serif"/>
          <w:b w:val="false"/>
          <w:i w:val="false"/>
          <w:caps w:val="false"/>
          <w:smallCaps w:val="false"/>
          <w:sz w:val="20"/>
          <w:u w:val="single"/>
        </w:rPr>
        <w:t>Titles and Headings</w:t>
      </w:r>
      <w:r>
        <w:rPr>
          <w:rFonts w:ascii="Times New Roman;Times;Serif" w:hAnsi="Times New Roman;Times;Serif"/>
          <w:b w:val="false"/>
          <w:i w:val="false"/>
          <w:caps w:val="false"/>
          <w:smallCaps w:val="false"/>
          <w:sz w:val="20"/>
        </w:rPr>
        <w:t>. The titles and headings of the Sections in the Plan are for convenience of reference only and, in the event of any conflict, the text of the Plan, rather than such titles or headings, shall control.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10.17 </w:t>
      </w:r>
      <w:r>
        <w:rPr>
          <w:rFonts w:ascii="Times New Roman;Times;Serif" w:hAnsi="Times New Roman;Times;Serif"/>
          <w:b w:val="false"/>
          <w:i w:val="false"/>
          <w:caps w:val="false"/>
          <w:smallCaps w:val="false"/>
          <w:sz w:val="20"/>
          <w:u w:val="single"/>
        </w:rPr>
        <w:t>Conformity to Securities Laws</w:t>
      </w:r>
      <w:r>
        <w:rPr>
          <w:rFonts w:ascii="Times New Roman;Times;Serif" w:hAnsi="Times New Roman;Times;Serif"/>
          <w:b w:val="false"/>
          <w:i w:val="false"/>
          <w:caps w:val="false"/>
          <w:smallCaps w:val="false"/>
          <w:sz w:val="20"/>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and all Awards granted hereunder shall be administered only in such a manner as to conform to such laws, rules and regulations. To the extent permitted by Applicable Laws, the Plan and all Award Agreements shall be deemed amended to the extent necessary to conform to such laws, rules and regulations.</w:t>
      </w:r>
    </w:p>
    <w:p>
      <w:pPr>
        <w:pStyle w:val="TextBody"/>
        <w:bidi w:val="0"/>
        <w:ind w:left="0" w:right="0" w:firstLine="720"/>
        <w:jc w:val="left"/>
        <w:rPr>
          <w:caps/>
        </w:rPr>
      </w:pPr>
      <w:r>
        <w:rPr>
          <w:caps/>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ind w:left="0" w:right="0" w:firstLine="720"/>
        <w:jc w:val="left"/>
        <w:rPr>
          <w:caps/>
        </w:rPr>
      </w:pPr>
      <w:r>
        <w:rPr>
          <w:caps/>
        </w:rPr>
        <w:t> </w:t>
      </w:r>
    </w:p>
    <w:p>
      <w:pPr>
        <w:pStyle w:val="TextBody"/>
        <w:bidi w:val="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11. </w:t>
      </w:r>
      <w:r>
        <w:rPr>
          <w:rFonts w:ascii="Times New Roman;Times;Serif" w:hAnsi="Times New Roman;Times;Serif"/>
          <w:b w:val="false"/>
          <w:i w:val="false"/>
          <w:caps/>
          <w:sz w:val="20"/>
          <w:u w:val="single"/>
        </w:rPr>
        <w:t>Definitions</w:t>
      </w:r>
      <w:r>
        <w:rPr>
          <w:rFonts w:ascii="Times New Roman;Times;Serif" w:hAnsi="Times New Roman;Times;Serif"/>
          <w:b w:val="false"/>
          <w:i/>
          <w:caps/>
          <w:sz w:val="20"/>
        </w:rPr>
        <w:t xml:space="preserve">. </w:t>
      </w:r>
      <w:r>
        <w:rPr>
          <w:rFonts w:ascii="Times New Roman;Times;Serif" w:hAnsi="Times New Roman;Times;Serif"/>
          <w:b w:val="false"/>
          <w:i w:val="false"/>
          <w:caps/>
          <w:sz w:val="20"/>
        </w:rPr>
        <w:t>As used in the Plan, the following words and phrases shall have the following meanings: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the Board or a Committee to the extent that the Board’s powers or authority under the Plan have been delegated to such Committee.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 or issued under the Plan.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individually or collectively, a grant under the Plan of Options, Restricted Stock, Restricted Stock Units or Other Stock-Based Awards.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a written agreement evidencing an Award, which agreements may be in electronic medium and shall contain such terms and conditions with respect to an Award as the Administrator shall determine, consistent with and subject to the terms and conditions of the Plan.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in respect of a Participant, either (a) the definition of “Cause” contained in the Participant’s Award Agreement or an effective, written service or employment agreement between the Participant and the Company; or (b) if no such agreement exists or such agreement does not define Cause, then Cause shall mean (i) the Participant’s unauthorized use or disclosure of confidential information or trade secrets of the Company or any material breach of a written agreement between the Participant and the Company, including without limitation a material breach of any employment, confidentiality, non-compete, non-solicit or similar agreement; (ii) the Participant’s commission of, indictment for or the entry of a plea of guilty or nolo contendere by the Participant to, a felony under the laws of the United States or any state thereof or any crime involving dishonesty or moral turpitude (or any similar crime in any jurisdiction outside the United States); (iii) the Participant’s negligence or willful misconduct in the performance of the Participant’s duties or the Participant’s willful or repeated failure or refusal to substantially perform assigned duties; (iv) any act of fraud, embezzlement, material misappropriation or dishonesty committed by the Participant against the Company; or (v) any acts, omissions or statements by a Participant which the Company determines to be materially detrimental or damaging to the reputation, operations, prospects or business relations of the Company. The findings and decision of the Administrator with respect to any Cause determination will be final and binding for all purposes.</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xml:space="preserve">” means (i) a merger or consolidation of the Company with or into any other corporation or other entity or person, (ii) a sale, lease, exchange or other transfer in one transaction or a series of related transactions of all or substantially all of the Company’s assets, or (iii) any other transaction, including the sale by the Company of new shares of its capital stock or a transfer of existing shares of capital stock of the 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following events shall not constitute a “Change in Control”: (A) a transaction (other than a sale of all or substantially all of the Company’s assets) in which the holders of the voting securities of the Company immediately prior to the merger or consolidation hold, directly or indirectly, at least a majority of the voting securities in the successor corporation or its parent immediately after the merger or consolidation; (B) a sale, lease, exchange or other transaction in one transaction or a series of related transactions of all or substantially all of the Company’s assets to an affiliate of the Company; (C) an initial public offering of any of the Company’s securities; (D) a reincorporation of the Company solely to change its jurisdiction; or (E) a transaction undertaken for the primary purpose of creating a holding company that will be owned in substantially the same proportion by the persons who held the Company’s securities immediately before such transaction. Notwithstanding the foregoing, if a Change in Control would give rise to a payment or settlement event with respect to any Award that constitutes “nonqualified deferred compensation,” the transaction or event constituting the Change in Control must also constitute a “change in control event” (as defined in Treasury Regulation §1.409A-3(i)(5)) in order to give rise to the payment or settlement event for such Award, to the extent required by Section 409A.</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and the regulations issued thereunder.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one or more committees or subcommittees of the Board, which may be comprised of one or more directors and/or executive officers of the Company, in either case, to the extent permitted in accordance with Applicable Laws.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Merlin, Inc., a Delaware corporation, or any successor thereto. Except where the context otherwise requires, the term “Company” includes any of the Company’s present or future parent or subsidiary corporations as defined in Sections 424(e) or (f) of the Code and any other business venture (including, without limitation, joint venture or limited liability company) in which the Company has a significant interest, as determined by the Administrator.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 “</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xml:space="preserve">” means any person, including any advisor, engaged by the Company or a parent or subsidiary of the Company to render services to such entity if: (i) the consultant or adviser renders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services to the Company; (ii) the services rendered by the consultant or advisor are not in connection with the offer or sale of securities in a capital-raising transaction and do not directly or indirectly promote or maintain a market for the Company’s securities; and (iii) the consultant or advisor is a natural person, or such other advisor or consultant as is approved by the Administrator.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 “</w:t>
      </w:r>
      <w:r>
        <w:rPr>
          <w:rFonts w:ascii="Times New Roman;Times;Serif" w:hAnsi="Times New Roman;Times;Serif"/>
          <w:b w:val="false"/>
          <w:i w:val="false"/>
          <w:caps w:val="false"/>
          <w:smallCaps w:val="false"/>
          <w:sz w:val="20"/>
          <w:u w:val="single"/>
        </w:rPr>
        <w:t>Designated Beneficiary</w:t>
      </w:r>
      <w:r>
        <w:rPr>
          <w:rFonts w:ascii="Times New Roman;Times;Serif" w:hAnsi="Times New Roman;Times;Serif"/>
          <w:b w:val="false"/>
          <w:i w:val="false"/>
          <w:caps w:val="false"/>
          <w:smallCaps w:val="false"/>
          <w:sz w:val="20"/>
        </w:rPr>
        <w:t>” means the beneficiary or beneficiaries designated, in a manner determined by the Administrator, by a Participant to receive amounts due or exercise rights of the Participant in the event of the Participant’s death or incapacity In the absence of an effective designation by a Participant, “Designated Beneficiary” shall mean the Participant’s estate.</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 member of the Board.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a permanent and total disability within the meaning of Section 22(e)(3) of the Code, as it may be amended from time to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 “</w:t>
      </w:r>
      <w:r>
        <w:rPr>
          <w:rFonts w:ascii="Times New Roman;Times;Serif" w:hAnsi="Times New Roman;Times;Serif"/>
          <w:b w:val="false"/>
          <w:i w:val="false"/>
          <w:caps w:val="false"/>
          <w:smallCaps w:val="false"/>
          <w:sz w:val="20"/>
          <w:u w:val="single"/>
        </w:rPr>
        <w:t>Dividend Equivalents</w:t>
      </w:r>
      <w:r>
        <w:rPr>
          <w:rFonts w:ascii="Times New Roman;Times;Serif" w:hAnsi="Times New Roman;Times;Serif"/>
          <w:b w:val="false"/>
          <w:i w:val="false"/>
          <w:caps w:val="false"/>
          <w:smallCaps w:val="false"/>
          <w:sz w:val="20"/>
        </w:rPr>
        <w:t>” means a right granted to a Participant pursuant to Section 6.4(c) hereof to receive the equivalent value (in cash or shares of Common Stock) of dividends paid on shares of Common Stock.</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means any person, including officers and Directors, employed by the Company (within the meaning of Section 3401(c) of the Code) or any parent or subsidiary of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 “</w:t>
      </w:r>
      <w:r>
        <w:rPr>
          <w:rFonts w:ascii="Times New Roman;Times;Serif" w:hAnsi="Times New Roman;Times;Serif"/>
          <w:b w:val="false"/>
          <w:i w:val="false"/>
          <w:caps w:val="false"/>
          <w:smallCaps w:val="false"/>
          <w:sz w:val="20"/>
          <w:u w:val="single"/>
        </w:rPr>
        <w:t>Equity Restructuring</w:t>
      </w:r>
      <w:r>
        <w:rPr>
          <w:rFonts w:ascii="Times New Roman;Times;Serif" w:hAnsi="Times New Roman;Times;Serif"/>
          <w:b w:val="false"/>
          <w:i w:val="false"/>
          <w:caps w:val="false"/>
          <w:smallCaps w:val="false"/>
          <w:sz w:val="20"/>
        </w:rPr>
        <w:t>” means, as determined by the Administrator, a non-reciprocal transaction between the Company and its stockholders, such as a stock dividend, stock split, spin-off or recapitalization through a large, 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means, as of any date, the value of Stock determined as follows: (i) if the Common Stock is listed on any established stock exchange, its Fair Market Value shall be the closing sales price for such Common Stock as quoted on such exchange for such date, or if no sale occurred on such date, the first market trading day immediately prior to such date during which a sale occurred,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or such other source as the Administrator deems reliable; (ii) if the Common Stock is not traded on a stock exchange but is quoted on a national market or other quotation system, the last sales price on such date, or if no sales occurred on such date, then on the date immediately prior to such date on which sales prices are reported,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or such other source as the Administrator deems reliable; or (iii) in the absence of an established market for the Common Stock, the Fair Market Value thereof shall be determined by the Administrator in its sole discretion.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 “</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means an “incentive stock option” as defined in Section 422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 “</w:t>
      </w:r>
      <w:r>
        <w:rPr>
          <w:rFonts w:ascii="Times New Roman;Times;Serif" w:hAnsi="Times New Roman;Times;Serif"/>
          <w:b w:val="false"/>
          <w:i w:val="false"/>
          <w:caps w:val="false"/>
          <w:smallCaps w:val="false"/>
          <w:sz w:val="20"/>
          <w:u w:val="single"/>
        </w:rPr>
        <w:t>Non-Qualified Stock Option</w:t>
      </w:r>
      <w:r>
        <w:rPr>
          <w:rFonts w:ascii="Times New Roman;Times;Serif" w:hAnsi="Times New Roman;Times;Serif"/>
          <w:b w:val="false"/>
          <w:i w:val="false"/>
          <w:caps w:val="false"/>
          <w:smallCaps w:val="false"/>
          <w:sz w:val="20"/>
        </w:rPr>
        <w:t>” means an Option that is not intended to be or otherwise does not qualify as an Incentive Stock Option.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means an option to purchase Common Stock.</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 “</w:t>
      </w:r>
      <w:r>
        <w:rPr>
          <w:rFonts w:ascii="Times New Roman;Times;Serif" w:hAnsi="Times New Roman;Times;Serif"/>
          <w:b w:val="false"/>
          <w:i w:val="false"/>
          <w:caps w:val="false"/>
          <w:smallCaps w:val="false"/>
          <w:sz w:val="20"/>
          <w:u w:val="single"/>
        </w:rPr>
        <w:t>Other Stock-Based Awards</w:t>
      </w:r>
      <w:r>
        <w:rPr>
          <w:rFonts w:ascii="Times New Roman;Times;Serif" w:hAnsi="Times New Roman;Times;Serif"/>
          <w:b w:val="false"/>
          <w:i w:val="false"/>
          <w:caps w:val="false"/>
          <w:smallCaps w:val="false"/>
          <w:sz w:val="20"/>
        </w:rPr>
        <w:t>” means other Awards of shares of Common Stock, and other Awards that are valued in whole or in part by reference to, or are otherwise based on, shares of Common Stock or other property.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a Service Provider who has been granted an Award under the Plan.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this 2018 Equity Incentive Plan, as amended and restated from time to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 “</w:t>
      </w:r>
      <w:r>
        <w:rPr>
          <w:rFonts w:ascii="Times New Roman;Times;Serif" w:hAnsi="Times New Roman;Times;Serif"/>
          <w:b w:val="false"/>
          <w:i w:val="false"/>
          <w:caps w:val="false"/>
          <w:smallCaps w:val="false"/>
          <w:sz w:val="20"/>
          <w:u w:val="single"/>
        </w:rPr>
        <w:t>Publicly Listed Company</w:t>
      </w:r>
      <w:r>
        <w:rPr>
          <w:rFonts w:ascii="Times New Roman;Times;Serif" w:hAnsi="Times New Roman;Times;Serif"/>
          <w:b w:val="false"/>
          <w:i w:val="false"/>
          <w:caps w:val="false"/>
          <w:smallCaps w:val="false"/>
          <w:sz w:val="20"/>
        </w:rPr>
        <w:t>” means that the Company or its successor (i) is required to file periodic reports pursuant to Section 12 of the Exchange Act and (ii) the Common Stock is listed on one or more National Securities Exchanges (within the meaning of the Exchange Act) or is quoted on NASDAQ or a successor quotation system.</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means Common Stock awarded to a Participant pursuant to Section 6 hereof that is subject to certain vesting conditions and other restrictions.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 “</w:t>
      </w:r>
      <w:r>
        <w:rPr>
          <w:rFonts w:ascii="Times New Roman;Times;Serif" w:hAnsi="Times New Roman;Times;Serif"/>
          <w:b w:val="false"/>
          <w:i w:val="false"/>
          <w:caps w:val="false"/>
          <w:smallCaps w:val="false"/>
          <w:sz w:val="20"/>
          <w:u w:val="single"/>
        </w:rPr>
        <w:t>Restricted Stock Unit</w:t>
      </w:r>
      <w:r>
        <w:rPr>
          <w:rFonts w:ascii="Times New Roman;Times;Serif" w:hAnsi="Times New Roman;Times;Serif"/>
          <w:b w:val="false"/>
          <w:i w:val="false"/>
          <w:caps w:val="false"/>
          <w:smallCaps w:val="false"/>
          <w:sz w:val="20"/>
        </w:rPr>
        <w:t>” means an unfunded, unsecured right to receive, on the applicable settlement date, one share of Common Stock or an amount in cash or other consideration determined by the Administrator equal to the value thereof as of such payment date, which right may be subject to certain vesting conditions and other restrictions.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means Section 409A of the Code and all regulations, guidance, compliance programs and other interpretative authority thereunder.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xml:space="preserve"> means the Securities Act of 1933, as amended from time to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 “</w:t>
      </w:r>
      <w:r>
        <w:rPr>
          <w:rFonts w:ascii="Times New Roman;Times;Serif" w:hAnsi="Times New Roman;Times;Serif"/>
          <w:b w:val="false"/>
          <w:i w:val="false"/>
          <w:caps w:val="false"/>
          <w:smallCaps w:val="false"/>
          <w:sz w:val="20"/>
          <w:u w:val="single"/>
        </w:rPr>
        <w:t>Service Provider</w:t>
      </w:r>
      <w:r>
        <w:rPr>
          <w:rFonts w:ascii="Times New Roman;Times;Serif" w:hAnsi="Times New Roman;Times;Serif"/>
          <w:b w:val="false"/>
          <w:i w:val="false"/>
          <w:caps w:val="false"/>
          <w:smallCaps w:val="false"/>
          <w:sz w:val="20"/>
        </w:rPr>
        <w:t>” means an Employee, Consultant or Director.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 “</w:t>
      </w:r>
      <w:r>
        <w:rPr>
          <w:rFonts w:ascii="Times New Roman;Times;Serif" w:hAnsi="Times New Roman;Times;Serif"/>
          <w:b w:val="false"/>
          <w:i w:val="false"/>
          <w:caps w:val="false"/>
          <w:smallCaps w:val="false"/>
          <w:sz w:val="20"/>
          <w:u w:val="single"/>
        </w:rPr>
        <w:t>Termination of Service</w:t>
      </w:r>
      <w:r>
        <w:rPr>
          <w:rFonts w:ascii="Times New Roman;Times;Serif" w:hAnsi="Times New Roman;Times;Serif"/>
          <w:b w:val="false"/>
          <w:i w:val="false"/>
          <w:caps w:val="false"/>
          <w:smallCaps w:val="false"/>
          <w:sz w:val="20"/>
        </w:rPr>
        <w:t>” means the date the Participant ceases to be a Service Provider.</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 EQUITY INCENTIVE PLAN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CALIFORNIA SUPPLEMENT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is intended to satisfy the requirements of Section 25102(o) of the California Corporations Code and the regulations issued thereunder (“</w:t>
      </w:r>
      <w:r>
        <w:rPr>
          <w:rFonts w:ascii="Times New Roman;Times;Serif" w:hAnsi="Times New Roman;Times;Serif"/>
          <w:b w:val="false"/>
          <w:i w:val="false"/>
          <w:caps w:val="false"/>
          <w:smallCaps w:val="false"/>
          <w:sz w:val="20"/>
          <w:u w:val="single"/>
        </w:rPr>
        <w:t>Section 25102(o)</w:t>
      </w:r>
      <w:r>
        <w:rPr>
          <w:rFonts w:ascii="Times New Roman;Times;Serif" w:hAnsi="Times New Roman;Times;Serif"/>
          <w:b w:val="false"/>
          <w:i w:val="false"/>
          <w:caps w:val="false"/>
          <w:smallCaps w:val="false"/>
          <w:sz w:val="20"/>
        </w:rPr>
        <w:t>”). Notwithstanding anything to the contrary contained in the Plan and except as otherwise determined by the Administrator, the provisions set forth in this supplement shall apply to all Awards granted under the Plan to a Participant who is a resident of the State of California on the date of grant (a “</w:t>
      </w:r>
      <w:r>
        <w:rPr>
          <w:rFonts w:ascii="Times New Roman;Times;Serif" w:hAnsi="Times New Roman;Times;Serif"/>
          <w:b w:val="false"/>
          <w:i w:val="false"/>
          <w:caps w:val="false"/>
          <w:smallCaps w:val="false"/>
          <w:sz w:val="20"/>
          <w:u w:val="single"/>
        </w:rPr>
        <w:t>California Participant</w:t>
      </w:r>
      <w:r>
        <w:rPr>
          <w:rFonts w:ascii="Times New Roman;Times;Serif" w:hAnsi="Times New Roman;Times;Serif"/>
          <w:b w:val="false"/>
          <w:i w:val="false"/>
          <w:caps w:val="false"/>
          <w:smallCaps w:val="false"/>
          <w:sz w:val="20"/>
        </w:rPr>
        <w:t>”) and which are intended to be exempt from registration in California pursuant to Section 25102(o), and otherwise to the extent required to comply with applicable law (but only to such extent). Definitions in the Plan are applicable to this supplement.</w:t>
      </w:r>
    </w:p>
    <w:p>
      <w:pPr>
        <w:pStyle w:val="TextBody"/>
        <w:bidi w:val="0"/>
        <w:ind w:left="0" w:right="0" w:firstLine="720"/>
        <w:jc w:val="both"/>
        <w:rPr>
          <w:caps/>
        </w:rPr>
      </w:pPr>
      <w:r>
        <w:rPr>
          <w:caps/>
        </w:rPr>
        <w:t> </w:t>
      </w:r>
    </w:p>
    <w:p>
      <w:pPr>
        <w:pStyle w:val="TextBody"/>
        <w:bidi w:val="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1. </w:t>
      </w:r>
      <w:r>
        <w:rPr>
          <w:rFonts w:ascii="Times New Roman;Times;Serif" w:hAnsi="Times New Roman;Times;Serif"/>
          <w:b w:val="false"/>
          <w:i w:val="false"/>
          <w:caps/>
          <w:sz w:val="20"/>
          <w:u w:val="single"/>
        </w:rPr>
        <w:t>Limitation On Securities Issuable Under Plan</w:t>
      </w:r>
      <w:r>
        <w:rPr>
          <w:rFonts w:ascii="Times New Roman;Times;Serif" w:hAnsi="Times New Roman;Times;Serif"/>
          <w:b w:val="false"/>
          <w:i w:val="false"/>
          <w:caps/>
          <w:sz w:val="20"/>
        </w:rPr>
        <w:t>. The amount of securities issued pursuant to the Plan shall not exceed the amounts permitted under Section 260.140.45 of the California code of regulations to the extent applicable.</w:t>
      </w:r>
    </w:p>
    <w:p>
      <w:pPr>
        <w:pStyle w:val="TextBody"/>
        <w:bidi w:val="0"/>
        <w:ind w:left="0" w:right="0" w:firstLine="720"/>
        <w:jc w:val="both"/>
        <w:rPr>
          <w:caps/>
        </w:rPr>
      </w:pPr>
      <w:r>
        <w:rPr>
          <w:caps/>
        </w:rPr>
        <w:t> </w:t>
      </w:r>
    </w:p>
    <w:p>
      <w:pPr>
        <w:pStyle w:val="TextBody"/>
        <w:bidi w:val="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2. </w:t>
      </w:r>
      <w:r>
        <w:rPr>
          <w:rFonts w:ascii="Times New Roman;Times;Serif" w:hAnsi="Times New Roman;Times;Serif"/>
          <w:b w:val="false"/>
          <w:i w:val="false"/>
          <w:caps/>
          <w:sz w:val="20"/>
          <w:u w:val="single"/>
        </w:rPr>
        <w:t>Additional Limitations For Grants</w:t>
      </w:r>
      <w:r>
        <w:rPr>
          <w:rFonts w:ascii="Times New Roman;Times;Serif" w:hAnsi="Times New Roman;Times;Serif"/>
          <w:b w:val="false"/>
          <w:i/>
          <w:caps/>
          <w:sz w:val="20"/>
        </w:rPr>
        <w:t xml:space="preserve">. </w:t>
      </w:r>
      <w:r>
        <w:rPr>
          <w:rFonts w:ascii="Times New Roman;Times;Serif" w:hAnsi="Times New Roman;Times;Serif"/>
          <w:b w:val="false"/>
          <w:i w:val="false"/>
          <w:caps/>
          <w:sz w:val="20"/>
        </w:rPr>
        <w:t xml:space="preserve">The terms of all Awards shall comply, to the extent applicable, with Sections 260.140.41 and 260.140.42 of the California Code of Regulations. </w:t>
      </w:r>
    </w:p>
    <w:p>
      <w:pPr>
        <w:pStyle w:val="TextBody"/>
        <w:bidi w:val="0"/>
        <w:ind w:left="0" w:right="0" w:firstLine="720"/>
        <w:jc w:val="both"/>
        <w:rPr>
          <w:caps/>
        </w:rPr>
      </w:pPr>
      <w:r>
        <w:rPr>
          <w:caps/>
        </w:rPr>
        <w:t> </w:t>
      </w:r>
    </w:p>
    <w:p>
      <w:pPr>
        <w:pStyle w:val="TextBody"/>
        <w:bidi w:val="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3. </w:t>
      </w:r>
      <w:r>
        <w:rPr>
          <w:rFonts w:ascii="Times New Roman;Times;Serif" w:hAnsi="Times New Roman;Times;Serif"/>
          <w:b w:val="false"/>
          <w:i w:val="false"/>
          <w:caps/>
          <w:sz w:val="20"/>
          <w:u w:val="single"/>
        </w:rPr>
        <w:t>Additional Requirement To Provide Information To California Participants</w:t>
      </w:r>
      <w:r>
        <w:rPr>
          <w:rFonts w:ascii="Times New Roman;Times;Serif" w:hAnsi="Times New Roman;Times;Serif"/>
          <w:b w:val="false"/>
          <w:i/>
          <w:caps/>
          <w:sz w:val="20"/>
        </w:rPr>
        <w:t xml:space="preserve">. </w:t>
      </w:r>
      <w:r>
        <w:rPr>
          <w:rFonts w:ascii="Times New Roman;Times;Serif" w:hAnsi="Times New Roman;Times;Serif"/>
          <w:b w:val="false"/>
          <w:i w:val="false"/>
          <w:caps/>
          <w:sz w:val="20"/>
        </w:rPr>
        <w:t>The Company shall provide to each California Participant, not less frequently than annually, copies of annual financial statements (which need not be audited). The Company shall not be required to provide such statements to key persons whose duties in connection with the Company assure their access to equivalent information. In addition, this information requirement shall not apply to any plan or agreement that complies with all conditions of Rule 701 of the Securities Act (“</w:t>
      </w:r>
      <w:r>
        <w:rPr>
          <w:rFonts w:ascii="Times New Roman;Times;Serif" w:hAnsi="Times New Roman;Times;Serif"/>
          <w:b w:val="false"/>
          <w:i w:val="false"/>
          <w:caps/>
          <w:sz w:val="20"/>
          <w:u w:val="single"/>
        </w:rPr>
        <w:t>Rule 701</w:t>
      </w:r>
      <w:r>
        <w:rPr>
          <w:rFonts w:ascii="Times New Roman;Times;Serif" w:hAnsi="Times New Roman;Times;Serif"/>
          <w:b w:val="false"/>
          <w:i w:val="false"/>
          <w:caps/>
          <w:sz w:val="20"/>
        </w:rPr>
        <w:t xml:space="preserve">”); </w:t>
      </w:r>
      <w:r>
        <w:rPr>
          <w:rFonts w:ascii="Times New Roman;Times;Serif" w:hAnsi="Times New Roman;Times;Serif"/>
          <w:b w:val="false"/>
          <w:i w:val="false"/>
          <w:caps/>
          <w:sz w:val="20"/>
          <w:u w:val="single"/>
        </w:rPr>
        <w:t>provided that</w:t>
      </w:r>
      <w:r>
        <w:rPr>
          <w:rFonts w:ascii="Times New Roman;Times;Serif" w:hAnsi="Times New Roman;Times;Serif"/>
          <w:b w:val="false"/>
          <w:i w:val="false"/>
          <w:caps/>
          <w:sz w:val="20"/>
        </w:rPr>
        <w:t xml:space="preserve"> for purposes of determining such compliance, any registered domestic partner shall be considered a “family member” as that term is defined in Rule 701. </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p>
      <w:pPr>
        <w:pStyle w:val="TextBody"/>
        <w:bidi w:val="0"/>
        <w:ind w:left="0" w:right="0" w:hanging="0"/>
        <w:jc w:val="left"/>
        <w:rPr>
          <w:bdr w:val="single" w:sz="12" w:space="1" w:color="000000"/>
        </w:rPr>
      </w:pPr>
      <w:r>
        <w:rPr>
          <w:bdr w:val="single" w:sz="12" w:space="1" w:color="000000"/>
        </w:rPr>
        <w:t> </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right"/>
        <w:rPr>
          <w:b/>
        </w:rPr>
      </w:pPr>
      <w:bookmarkStart w:id="62" w:name="ea028257401ex10-10.htm"/>
      <w:bookmarkStart w:id="63" w:name="ksea028257401ex1010"/>
      <w:bookmarkEnd w:id="62"/>
      <w:bookmarkEnd w:id="63"/>
      <w:r>
        <w:rPr>
          <w:b/>
        </w:rPr>
        <w:t>Exhibit 10.10</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 NOTICE AND</w:t>
        <w:br/>
        <w:t>STOCK OPTION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Merlin Labs,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pursuant to its 2018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hereby grants to the participant set forth below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an option (the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to purchase the number of shares of the Company’s Common Stock (referred to herein as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set forth below. This Option is subject to all of the terms and conditions as set forth herein and in the Stock Option Agreement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Stock Option Agreement</w:t>
      </w:r>
      <w:r>
        <w:rPr>
          <w:rFonts w:ascii="Times New Roman;Times;Serif" w:hAnsi="Times New Roman;Times;Serif"/>
          <w:b w:val="false"/>
          <w:i w:val="false"/>
          <w:caps w:val="false"/>
          <w:smallCaps w:val="false"/>
          <w:sz w:val="20"/>
        </w:rPr>
        <w:t>”) and the Plan, each of which is incorporated herein by reference. Unless otherwise defined herein, the terms defined in the Plan shall have the same defined meanings in this Stock Option Grant Notice and the Stock Option Agreement.</w:t>
      </w:r>
    </w:p>
    <w:p>
      <w:pPr>
        <w:pStyle w:val="TextBody"/>
        <w:bidi w:val="0"/>
        <w:spacing w:before="0" w:after="0"/>
        <w:ind w:left="0" w:right="0" w:firstLine="72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4415"/>
        <w:gridCol w:w="140"/>
        <w:gridCol w:w="75"/>
      </w:tblGrid>
      <w:tr>
        <w:trPr/>
        <w:tc>
          <w:tcPr>
            <w:tcW w:w="4415" w:type="dxa"/>
            <w:tcBorders/>
            <w:vAlign w:val="center"/>
          </w:tcPr>
          <w:p>
            <w:pPr>
              <w:pStyle w:val="TableContents"/>
              <w:bidi w:val="0"/>
              <w:spacing w:before="0" w:after="283"/>
              <w:jc w:val="left"/>
              <w:rPr>
                <w:b/>
              </w:rPr>
            </w:pPr>
            <w:r>
              <w:rPr>
                <w:b/>
              </w:rPr>
              <w:t>Participant:</w:t>
            </w:r>
          </w:p>
        </w:tc>
        <w:tc>
          <w:tcPr>
            <w:tcW w:w="14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b/>
              </w:rPr>
            </w:pPr>
            <w:r>
              <w:rPr>
                <w:b/>
              </w:rPr>
              <w:t>Grant Date:</w:t>
            </w:r>
          </w:p>
        </w:tc>
        <w:tc>
          <w:tcPr>
            <w:tcW w:w="14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b/>
              </w:rPr>
            </w:pPr>
            <w:r>
              <w:rPr>
                <w:b/>
              </w:rPr>
              <w:t>Vesting Commencement Date:</w:t>
            </w:r>
          </w:p>
        </w:tc>
        <w:tc>
          <w:tcPr>
            <w:tcW w:w="14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b/>
              </w:rPr>
            </w:pPr>
            <w:r>
              <w:rPr>
                <w:b/>
              </w:rPr>
              <w:t>Exercise Price per Share:</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b/>
              </w:rPr>
            </w:pPr>
            <w:r>
              <w:rPr>
                <w:b/>
              </w:rPr>
              <w:t>Total Exercise Price:</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b/>
              </w:rPr>
            </w:pPr>
            <w:r>
              <w:rPr>
                <w:b/>
              </w:rPr>
              <w:t>Total Number of Shares Subject to Option:</w:t>
            </w:r>
          </w:p>
        </w:tc>
        <w:tc>
          <w:tcPr>
            <w:tcW w:w="14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b/>
              </w:rPr>
            </w:pPr>
            <w:r>
              <w:rPr>
                <w:b/>
              </w:rPr>
              <w:t>Expiration Date:</w:t>
            </w:r>
          </w:p>
        </w:tc>
        <w:tc>
          <w:tcPr>
            <w:tcW w:w="14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72"/>
        <w:gridCol w:w="4059"/>
        <w:gridCol w:w="5074"/>
      </w:tblGrid>
      <w:tr>
        <w:trPr/>
        <w:tc>
          <w:tcPr>
            <w:tcW w:w="1072" w:type="dxa"/>
            <w:tcBorders/>
            <w:vAlign w:val="center"/>
          </w:tcPr>
          <w:p>
            <w:pPr>
              <w:pStyle w:val="TableContents"/>
              <w:bidi w:val="0"/>
              <w:spacing w:before="0" w:after="283"/>
              <w:jc w:val="left"/>
              <w:rPr>
                <w:b/>
              </w:rPr>
            </w:pPr>
            <w:r>
              <w:rPr>
                <w:b/>
              </w:rPr>
              <w:t>Type of Option:</w:t>
            </w:r>
          </w:p>
        </w:tc>
        <w:tc>
          <w:tcPr>
            <w:tcW w:w="4059" w:type="dxa"/>
            <w:tcBorders/>
            <w:vAlign w:val="center"/>
          </w:tcPr>
          <w:p>
            <w:pPr>
              <w:pStyle w:val="TableContents"/>
              <w:bidi w:val="0"/>
              <w:spacing w:before="0" w:after="283"/>
              <w:jc w:val="left"/>
              <w:rPr/>
            </w:pPr>
            <w:r>
              <w:rPr/>
              <w:t xml:space="preserve">☐ </w:t>
            </w:r>
            <w:r>
              <w:rPr/>
              <w:t xml:space="preserve">Incentive Stock Option </w:t>
            </w:r>
          </w:p>
        </w:tc>
        <w:tc>
          <w:tcPr>
            <w:tcW w:w="5074" w:type="dxa"/>
            <w:tcBorders/>
            <w:vAlign w:val="center"/>
          </w:tcPr>
          <w:p>
            <w:pPr>
              <w:pStyle w:val="TableContents"/>
              <w:bidi w:val="0"/>
              <w:spacing w:before="0" w:after="283"/>
              <w:jc w:val="left"/>
              <w:rPr/>
            </w:pPr>
            <w:r>
              <w:rPr/>
              <w:t>☐ </w:t>
            </w:r>
            <w:r>
              <w:rPr/>
              <w:t>Non-Qualified Stock Option</w:t>
            </w:r>
          </w:p>
        </w:tc>
      </w:tr>
      <w:tr>
        <w:trPr/>
        <w:tc>
          <w:tcPr>
            <w:tcW w:w="1072"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pPr>
            <w:r>
              <w:rPr/>
              <w:t> </w:t>
            </w:r>
          </w:p>
        </w:tc>
        <w:tc>
          <w:tcPr>
            <w:tcW w:w="5074"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b/>
              </w:rPr>
            </w:pPr>
            <w:r>
              <w:rPr>
                <w:b/>
              </w:rPr>
              <w:t>Vesting Schedule:</w:t>
            </w:r>
          </w:p>
        </w:tc>
        <w:tc>
          <w:tcPr>
            <w:tcW w:w="9133" w:type="dxa"/>
            <w:gridSpan w:val="2"/>
            <w:tcBorders/>
            <w:vAlign w:val="center"/>
          </w:tcPr>
          <w:p>
            <w:pPr>
              <w:pStyle w:val="TableContents"/>
              <w:bidi w:val="0"/>
              <w:spacing w:before="0" w:after="283"/>
              <w:jc w:val="both"/>
              <w:rPr/>
            </w:pPr>
            <w:r>
              <w:rPr/>
              <w:t>[The Option shall vest and become exercisable as to 25% of the total number of Shares subject to the Option on the first anniversary of the Vesting Commencement Date and as to 1/48</w:t>
            </w:r>
            <w:r>
              <w:rPr>
                <w:position w:val="8"/>
                <w:sz w:val="19"/>
              </w:rPr>
              <w:t>th</w:t>
            </w:r>
            <w:r>
              <w:rPr/>
              <w:t xml:space="preserve"> of the total number of Shares subject to the Option on each monthly anniversary thereafter, so that all of the Shares subject to the Option shall be fully vested and exercisable on the fourth anniversary of the Vesting Commencement Date, subject to Participant not experiencing a Termination of Service through each such vesting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his or her signature and the Company’s signature below, Participant agrees to be bound by the terms and conditions of the Plan, the Stock Option Agreement and this Grant Notice. 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 Participant hereby agrees to accept as binding, conclusive and final all decisions or interpretations of the Administrator of the Plan upon any questions arising under the Plan or the Option.</w:t>
      </w:r>
    </w:p>
    <w:p>
      <w:pPr>
        <w:pStyle w:val="TextBody"/>
        <w:bidi w:val="0"/>
        <w:spacing w:before="0" w:after="0"/>
        <w:ind w:left="0" w:right="0" w:firstLine="720"/>
        <w:jc w:val="both"/>
        <w:rPr>
          <w:caps w:val="false"/>
          <w:smallCaps w:val="false"/>
        </w:rPr>
      </w:pPr>
      <w:r>
        <w:rPr>
          <w:caps w:val="false"/>
          <w:smallCaps w:val="false"/>
        </w:rPr>
        <w:t> </w:t>
      </w:r>
    </w:p>
    <w:tbl>
      <w:tblPr>
        <w:tblW w:w="3758" w:type="dxa"/>
        <w:jc w:val="left"/>
        <w:tblInd w:w="0" w:type="dxa"/>
        <w:tblLayout w:type="fixed"/>
        <w:tblCellMar>
          <w:top w:w="0" w:type="dxa"/>
          <w:left w:w="0" w:type="dxa"/>
          <w:bottom w:w="0" w:type="dxa"/>
          <w:right w:w="0" w:type="dxa"/>
        </w:tblCellMar>
      </w:tblPr>
      <w:tblGrid>
        <w:gridCol w:w="1724"/>
        <w:gridCol w:w="155"/>
        <w:gridCol w:w="60"/>
        <w:gridCol w:w="1614"/>
        <w:gridCol w:w="205"/>
      </w:tblGrid>
      <w:tr>
        <w:trPr/>
        <w:tc>
          <w:tcPr>
            <w:tcW w:w="1879" w:type="dxa"/>
            <w:gridSpan w:val="2"/>
            <w:tcBorders/>
            <w:vAlign w:val="center"/>
          </w:tcPr>
          <w:p>
            <w:pPr>
              <w:pStyle w:val="TableContents"/>
              <w:bidi w:val="0"/>
              <w:spacing w:before="0" w:after="283"/>
              <w:jc w:val="left"/>
              <w:rPr>
                <w:b/>
              </w:rPr>
            </w:pPr>
            <w:r>
              <w:rPr>
                <w:b/>
              </w:rPr>
              <w:t>Merlin Labs, Inc.:</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b/>
              </w:rPr>
            </w:pPr>
            <w:r>
              <w:rPr>
                <w:b/>
              </w:rPr>
              <w:t>PARTICIPANT:</w:t>
            </w:r>
          </w:p>
        </w:tc>
      </w:tr>
      <w:tr>
        <w:trPr/>
        <w:tc>
          <w:tcPr>
            <w:tcW w:w="18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pPr>
            <w:r>
              <w:rPr/>
              <w:t> </w:t>
            </w:r>
          </w:p>
        </w:tc>
      </w:tr>
      <w:tr>
        <w:trPr/>
        <w:tc>
          <w:tcPr>
            <w:tcW w:w="1724" w:type="dxa"/>
            <w:tcBorders/>
            <w:vAlign w:val="center"/>
          </w:tcPr>
          <w:p>
            <w:pPr>
              <w:pStyle w:val="TableContents"/>
              <w:bidi w:val="0"/>
              <w:spacing w:before="0" w:after="283"/>
              <w:jc w:val="left"/>
              <w:rPr/>
            </w:pPr>
            <w:r>
              <w:rPr/>
              <w:t>By:</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By: </w:t>
            </w:r>
          </w:p>
        </w:tc>
        <w:tc>
          <w:tcPr>
            <w:tcW w:w="20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724" w:type="dxa"/>
            <w:tcBorders/>
            <w:vAlign w:val="center"/>
          </w:tcPr>
          <w:p>
            <w:pPr>
              <w:pStyle w:val="TableContents"/>
              <w:bidi w:val="0"/>
              <w:spacing w:before="0" w:after="283"/>
              <w:jc w:val="left"/>
              <w:rPr/>
            </w:pPr>
            <w:r>
              <w:rPr/>
              <w:t>Name:</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Name:</w:t>
            </w:r>
          </w:p>
        </w:tc>
        <w:tc>
          <w:tcPr>
            <w:tcW w:w="20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724" w:type="dxa"/>
            <w:tcBorders/>
            <w:vAlign w:val="center"/>
          </w:tcPr>
          <w:p>
            <w:pPr>
              <w:pStyle w:val="TableContents"/>
              <w:bidi w:val="0"/>
              <w:spacing w:before="0" w:after="283"/>
              <w:jc w:val="left"/>
              <w:rPr/>
            </w:pPr>
            <w:r>
              <w:rPr/>
              <w:t>Title:</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STOCK OPTION GRANT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Stock Option Grant Notice (“</w:t>
      </w:r>
      <w:r>
        <w:rPr>
          <w:rFonts w:ascii="Times New Roman;Times;Serif" w:hAnsi="Times New Roman;Times;Serif"/>
          <w:b w:val="false"/>
          <w:i w:val="false"/>
          <w:caps w:val="false"/>
          <w:smallCaps w:val="false"/>
          <w:sz w:val="20"/>
          <w:u w:val="single"/>
        </w:rPr>
        <w:t>Grant Notice</w:t>
      </w:r>
      <w:r>
        <w:rPr>
          <w:rFonts w:ascii="Times New Roman;Times;Serif" w:hAnsi="Times New Roman;Times;Serif"/>
          <w:b w:val="false"/>
          <w:i w:val="false"/>
          <w:caps w:val="false"/>
          <w:smallCaps w:val="false"/>
          <w:sz w:val="20"/>
        </w:rPr>
        <w:t>”) to which this Stock Option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attached, Merlin Labs,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granted to Participant an Option under the Company’s 2018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to purchase the number of Shares indicated in the Grant Notice.</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1. </w:t>
      </w:r>
      <w:r>
        <w:rPr>
          <w:rFonts w:ascii="Times New Roman;Times;Serif" w:hAnsi="Times New Roman;Times;Serif"/>
          <w:b w:val="false"/>
          <w:i w:val="false"/>
          <w:caps/>
          <w:sz w:val="20"/>
          <w:u w:val="single"/>
        </w:rPr>
        <w:t>General</w:t>
      </w:r>
      <w:r>
        <w:rPr>
          <w:rFonts w:ascii="Times New Roman;Times;Serif" w:hAnsi="Times New Roman;Times;Serif"/>
          <w:b w:val="false"/>
          <w:i w:val="false"/>
          <w:caps/>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not specifically defined herein shall have the meanings specified in the Plan and the Grant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Incorporation of Terms of Plan</w:t>
      </w:r>
      <w:r>
        <w:rPr>
          <w:rFonts w:ascii="Times New Roman;Times;Serif" w:hAnsi="Times New Roman;Times;Serif"/>
          <w:b w:val="false"/>
          <w:i w:val="false"/>
          <w:caps w:val="false"/>
          <w:smallCaps w:val="false"/>
          <w:sz w:val="20"/>
        </w:rPr>
        <w:t>. The Option is subject to the terms and conditions of the Plan which are incorporated herein by reference. In the event of a conflict between the terms of the Agreement and the Plan, the terms of the Plan shall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Grant of Option</w:t>
      </w:r>
      <w:r>
        <w:rPr>
          <w:rFonts w:ascii="Times New Roman;Times;Serif" w:hAnsi="Times New Roman;Times;Serif"/>
          <w:b w:val="false"/>
          <w:i w:val="false"/>
          <w:caps w:val="false"/>
          <w:smallCaps w:val="false"/>
          <w:sz w:val="20"/>
        </w:rPr>
        <w:t>. In consideration of Participant’s past and/or continued employment with or service to the Company or a parent or subsidiary and for other good and valuable consideration, effective as of the grant date set forth in the Grant Notice (the “</w:t>
      </w:r>
      <w:r>
        <w:rPr>
          <w:rFonts w:ascii="Times New Roman;Times;Serif" w:hAnsi="Times New Roman;Times;Serif"/>
          <w:b w:val="false"/>
          <w:i w:val="false"/>
          <w:caps w:val="false"/>
          <w:smallCaps w:val="false"/>
          <w:sz w:val="20"/>
          <w:u w:val="single"/>
        </w:rPr>
        <w:t>Grant Date</w:t>
      </w:r>
      <w:r>
        <w:rPr>
          <w:rFonts w:ascii="Times New Roman;Times;Serif" w:hAnsi="Times New Roman;Times;Serif"/>
          <w:b w:val="false"/>
          <w:i w:val="false"/>
          <w:caps w:val="false"/>
          <w:smallCaps w:val="false"/>
          <w:sz w:val="20"/>
        </w:rPr>
        <w:t>”), the Company irrevocably grants to Participant an Option to purchase any part or all of an aggregate of the number of Shares set forth in the Grant Notice, upon the terms and conditions set forth in the Plan and this Agreement. Unless designated as a Non-Qualified Stock Option in the Grant Notice, the Option shall be an Incentive Stock Option to the maximum extent permitted by law.</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2. </w:t>
      </w:r>
      <w:r>
        <w:rPr>
          <w:rFonts w:ascii="Times New Roman;Times;Serif" w:hAnsi="Times New Roman;Times;Serif"/>
          <w:b w:val="false"/>
          <w:i w:val="false"/>
          <w:caps/>
          <w:sz w:val="20"/>
          <w:u w:val="single"/>
        </w:rPr>
        <w:t>Period of Exercisability</w:t>
      </w:r>
      <w:r>
        <w:rPr>
          <w:rFonts w:ascii="Times New Roman;Times;Serif" w:hAnsi="Times New Roman;Times;Serif"/>
          <w:b w:val="false"/>
          <w:i w:val="false"/>
          <w:caps/>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Vesting; Commencement of Exercisability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Sections 2.1(b) and 2.3 below, the Option shall become vested and exercisable in such amounts and at such times as are set forth in the vesting schedule in the Grant Notice (the “</w:t>
      </w:r>
      <w:r>
        <w:rPr>
          <w:rFonts w:ascii="Times New Roman;Times;Serif" w:hAnsi="Times New Roman;Times;Serif"/>
          <w:b w:val="false"/>
          <w:i w:val="false"/>
          <w:caps w:val="false"/>
          <w:smallCaps w:val="false"/>
          <w:sz w:val="20"/>
          <w:u w:val="single"/>
        </w:rPr>
        <w:t>Vesting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determined by the Administrator, any portion of the Option that has not become vested and exercisable on or prior to the date of Participant’s Termination of Service shall be forfeited on the date of Participant’s Termination of Service and shall not thereafter become vested or exercisable.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Duration of Exercisability</w:t>
      </w:r>
      <w:r>
        <w:rPr>
          <w:rFonts w:ascii="Times New Roman;Times;Serif" w:hAnsi="Times New Roman;Times;Serif"/>
          <w:b w:val="false"/>
          <w:i w:val="false"/>
          <w:caps w:val="false"/>
          <w:smallCaps w:val="false"/>
          <w:sz w:val="20"/>
        </w:rPr>
        <w:t>. The installments provided for in the Vesting Schedule are cumulative. Each such installment which becomes vested and exercisable pursuant to the Vesting Schedule shall remain vested and exercisable until it becomes unexercisable under Section 2.3 below or pursuant to the terms of the Plan. Once the Option becomes unexercisable, it shall be forfeited immediately.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Expiration of Option</w:t>
      </w:r>
      <w:r>
        <w:rPr>
          <w:rFonts w:ascii="Times New Roman;Times;Serif" w:hAnsi="Times New Roman;Times;Serif"/>
          <w:b w:val="false"/>
          <w:i w:val="false"/>
          <w:caps w:val="false"/>
          <w:smallCaps w:val="false"/>
          <w:sz w:val="20"/>
        </w:rPr>
        <w:t>. The Option may not be exercised to any extent by anyone after the first to occur of the following events: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Expiration Date set forth in the Grant Notice;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expiration of three months following the date of Participant’s Termination of Service, unless such Termination of Service occurs by reason of Participant’s death, Disability or Cause;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expiration of one year following the date of Participant’s Termination of Service by reason of Participant’s death or Disability;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date of Participant’s Termination of Service for Cause.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acknowledges that an Incentive Stock Option exercised more than three (3) months after Participant’s Termination of Service as an Employee, other than by reason of death or Disability, will be taxed as a Non-Qualified Stock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Special Tax Consequences</w:t>
      </w:r>
      <w:r>
        <w:rPr>
          <w:rFonts w:ascii="Times New Roman;Times;Serif" w:hAnsi="Times New Roman;Times;Serif"/>
          <w:b w:val="false"/>
          <w:i w:val="false"/>
          <w:caps w:val="false"/>
          <w:smallCaps w:val="false"/>
          <w:sz w:val="20"/>
        </w:rPr>
        <w:t>. Participant acknowledges that, to the extent that the aggregate Fair Market Value (determined as of the time the Option is granted) of all Shares with respect to which Incentive Stock Options, including the Option, are first exercisable for the first time by Participant in any calendar year exceeds $100,000 (or such other limitation as imposed by Section 422(d) of the Code), the Option and such other options shall be treated as not qualifying under Section 422 of the Code but rather shall be considered Non-Qualified Stock Options. Participant further acknowledges that the rule set forth in the preceding sentence shall be applied by taking Options and other “incentive stock options” into account in the order in which they were granted.</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3. </w:t>
      </w:r>
      <w:r>
        <w:rPr>
          <w:rFonts w:ascii="Times New Roman;Times;Serif" w:hAnsi="Times New Roman;Times;Serif"/>
          <w:b w:val="false"/>
          <w:i w:val="false"/>
          <w:caps/>
          <w:sz w:val="20"/>
          <w:u w:val="single"/>
        </w:rPr>
        <w:t>Exercise of Option</w:t>
      </w:r>
      <w:r>
        <w:rPr>
          <w:rFonts w:ascii="Times New Roman;Times;Serif" w:hAnsi="Times New Roman;Times;Serif"/>
          <w:b w:val="false"/>
          <w:i w:val="false"/>
          <w:caps/>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Person Eligible to Exercise</w:t>
      </w:r>
      <w:r>
        <w:rPr>
          <w:rFonts w:ascii="Times New Roman;Times;Serif" w:hAnsi="Times New Roman;Times;Serif"/>
          <w:b w:val="false"/>
          <w:i w:val="false"/>
          <w:caps w:val="false"/>
          <w:smallCaps w:val="false"/>
          <w:sz w:val="20"/>
        </w:rPr>
        <w:t>. Except as may be otherwise provided by the Administrator, during the lifetime of Participant, only Participant may exercise the Option or any portion thereof. After the death of Participant, any exercisable portion of the Option may, prior to the time when the Option becomes unexercisable under Section 2.3, be exercised by Participant’s personal representative or by any person empowered to do so under the deceased Participant’s will or under the then applicable laws of descent and distribution.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Partial Exercise</w:t>
      </w:r>
      <w:r>
        <w:rPr>
          <w:rFonts w:ascii="Times New Roman;Times;Serif" w:hAnsi="Times New Roman;Times;Serif"/>
          <w:b w:val="false"/>
          <w:i w:val="false"/>
          <w:caps w:val="false"/>
          <w:smallCaps w:val="false"/>
          <w:sz w:val="20"/>
        </w:rPr>
        <w:t>. Any exercisable portion of the Option or the entire Option, if then wholly exercisable, may be exercised in whole or in part at any time prior to the time when the Option or portion thereof becomes unexercisable under Section 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 The Option, or any exercisable portion thereof, may be exercised solely by delivery to the Secretary of the Company or the Secretary’s office, or such other place as may be determined by the Administrator, of all of the following prior to the time when the Option or such portion thereof becomes unexercisable under Section 2.3 above: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 exercise notice in substantially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Grant Notice (or such other form as is prescribed by the Administrator) (the “</w:t>
      </w:r>
      <w:r>
        <w:rPr>
          <w:rFonts w:ascii="Times New Roman;Times;Serif" w:hAnsi="Times New Roman;Times;Serif"/>
          <w:b w:val="false"/>
          <w:i w:val="false"/>
          <w:caps w:val="false"/>
          <w:smallCaps w:val="false"/>
          <w:sz w:val="20"/>
          <w:u w:val="single"/>
        </w:rPr>
        <w:t>Exercise Notice</w:t>
      </w:r>
      <w:r>
        <w:rPr>
          <w:rFonts w:ascii="Times New Roman;Times;Serif" w:hAnsi="Times New Roman;Times;Serif"/>
          <w:b w:val="false"/>
          <w:i w:val="false"/>
          <w:caps w:val="false"/>
          <w:smallCaps w:val="false"/>
          <w:sz w:val="20"/>
        </w:rPr>
        <w:t>”) in writing signed by Participant or any other person then entitled to exercise the Option or portion thereof, stating that the Option or portion thereof is thereby exercised, such notice complying with all Applicable Laws established by the Administrator;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5.6 of the Plan: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Full payment (in cash or by check) for the Shares with respect to which the Option or portion thereof is exercised;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the consent of the Administrator, by delivery of Shares then issuable upon exercise of the Option having a Fair Market Value on the date of delivery equal to the aggregate exercise price of the Option or exercised portion thereof;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On and after the date the Company becomes a Publicly Listed Company, through the (A) delivery by Participant to the Company of an irrevocable and unconditional undertaking by a broker acceptable to the Company to deliver promptly to the Company sufficient funds to pay the exercise price or (B) delivery by Participant to the Company of a copy of irrevocable and unconditional instructions to a broker acceptable to the Company to deliver promptly to the Company cash or a check sufficient to pay the exercise price;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payment is then made to the Company at such time as may be required by the Administrator;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 the consent of the Administrator, any other method of payment permitted under the terms of the Plan;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Subject to any Applicable Laws, any combination of the consideration allowed under the foregoing paragraphs;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receipt by the Company of full payment for any applicable withholding tax in cash or by check or in the form of consideration permitted by the Administrator, which, following the date the Company becomes a Publicly Listed Company shall include the method provided for in Section 5.6(a) of the Plan;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Company is a not a Publicly Listed Company, the Investment Representation Statement in the form attached as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xml:space="preserve"> to the Exercise Notice executed by Participant;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event the Option or portion thereof shall be exercised pursuant to Section 3.1 above by any person or persons other than Participant, appropriate proof of the right of such person or persons to exercise the Option.</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4. </w:t>
      </w:r>
      <w:r>
        <w:rPr>
          <w:rFonts w:ascii="Times New Roman;Times;Serif" w:hAnsi="Times New Roman;Times;Serif"/>
          <w:b w:val="false"/>
          <w:i w:val="false"/>
          <w:caps/>
          <w:sz w:val="20"/>
          <w:u w:val="single"/>
        </w:rPr>
        <w:t>Other Provisions</w:t>
      </w:r>
      <w:r>
        <w:rPr>
          <w:rFonts w:ascii="Times New Roman;Times;Serif" w:hAnsi="Times New Roman;Times;Serif"/>
          <w:b w:val="false"/>
          <w:i w:val="false"/>
          <w:caps/>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Restrictive Legends and Stop-Transfer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to be given under the terms of this Agreement to the Company shall be addressed to the Company at its principal executive offices in care of the Secretary of the Company, and any notice to be given to Participant shall be addressed to Participant at the most recent address for Participant shown in the Company’s records. By a notice given pursuant to this Section 4.2, either party may hereafter designate a different address for notices to be given to that party. Any notice which is required to be given to Participant shall, if Participant is then deceased, be given to the person entitled to exercise his or her Option by written notice under this Section 4.2.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Titles</w:t>
      </w:r>
      <w:r>
        <w:rPr>
          <w:rFonts w:ascii="Times New Roman;Times;Serif" w:hAnsi="Times New Roman;Times;Serif"/>
          <w:b w:val="false"/>
          <w:i w:val="false"/>
          <w:caps w:val="false"/>
          <w:smallCaps w:val="false"/>
          <w:sz w:val="20"/>
        </w:rPr>
        <w:t>. Titles are provided herein for convenience only and are not to serve as a basis for interpretation or construction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Submission to Jurisdiction; Waiver of Jury Trial</w:t>
      </w:r>
      <w:r>
        <w:rPr>
          <w:rFonts w:ascii="Times New Roman;Times;Serif" w:hAnsi="Times New Roman;Times;Serif"/>
          <w:b w:val="false"/>
          <w:i w:val="false"/>
          <w:caps w:val="false"/>
          <w:smallCaps w:val="false"/>
          <w:sz w:val="20"/>
        </w:rPr>
        <w:t>. By accepting this Option, the Participant irrevocably and unconditionally consents to submit to the exclusive jurisdiction of the courts of the State of California and of the United States of America, in each case located in the State of California, for any action arising out of or relating to the Plan and this Option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this Option, the Participant irrevocably and unconditionally waives any objection to the laying of venue of any litigation arising out of Plan or the Option in the courts of the State of California or the United States of America, in each case located in the State of California, and further irrevocably and unconditionally waives and agrees not to plead or claim in any such court that any such litigation brought in any such court has been brought in an inconvenient forum. By accepting this Option, the Participant irrevocably and unconditionally waives, to the fullest extent permitted by applicable law, any and all rights to trial by jury in connection with any litigation arising out of or relating to the Plan or the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Governing Law; Severability</w:t>
      </w:r>
      <w:r>
        <w:rPr>
          <w:rFonts w:ascii="Times New Roman;Times;Serif" w:hAnsi="Times New Roman;Times;Serif"/>
          <w:b w:val="false"/>
          <w:i w:val="false"/>
          <w:caps w:val="false"/>
          <w:smallCaps w:val="false"/>
          <w:sz w:val="20"/>
        </w:rPr>
        <w:t>. This Agreement and the Exercise Notice shall be administered, interpreted and enforced under the laws of the State of Delaware, without regard to the conflicts of law principles thereof. Should any provision of this Agreement be determined by a court of law to be illegal or unenforceable, the other provisions shall nevertheless remain effective and shall remain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Conformity to Securities Laws</w:t>
      </w:r>
      <w:r>
        <w:rPr>
          <w:rFonts w:ascii="Times New Roman;Times;Serif" w:hAnsi="Times New Roman;Times;Serif"/>
          <w:b w:val="false"/>
          <w:i w:val="false"/>
          <w:caps w:val="false"/>
          <w:smallCaps w:val="false"/>
          <w:sz w:val="20"/>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Laws, the Plan and this Agreement shall be deemed amended to the extent necessary to conform to such laws,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Company may assign any of its rights under this Agreement and the Exercise Notice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Plan, this Agreement (including all Exhibits hereto) and any written employment agreement (including an offer letter) between Participant and the Company providing for acceleration of vesting of equity awards upon certain events constitute the entire agreement of the parties and supersede in their entirety all prior undertakings and agreements of the Company and Participant with respect to the subject matter 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STOCK OPTION GRANT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EXERCISE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today, ________,_____</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undersigned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hereby elects to exercise Participant’s option to purchase Shares of Merlin Labs,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under and pursuant to the Company’s 2018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and the Stock Option Grant Notice and Stock Option Agreement dated , ____ (the “</w:t>
      </w:r>
      <w:r>
        <w:rPr>
          <w:rFonts w:ascii="Times New Roman;Times;Serif" w:hAnsi="Times New Roman;Times;Serif"/>
          <w:b w:val="false"/>
          <w:i w:val="false"/>
          <w:caps w:val="false"/>
          <w:smallCaps w:val="false"/>
          <w:sz w:val="20"/>
          <w:u w:val="single"/>
        </w:rPr>
        <w:t>Option Agreement</w:t>
      </w:r>
      <w:r>
        <w:rPr>
          <w:rFonts w:ascii="Times New Roman;Times;Serif" w:hAnsi="Times New Roman;Times;Serif"/>
          <w:b w:val="false"/>
          <w:i w:val="false"/>
          <w:caps w:val="false"/>
          <w:smallCaps w:val="false"/>
          <w:sz w:val="20"/>
        </w:rPr>
        <w:t>”). Capitalized terms used herein without definition shall have the meanings given in the Option Agreement.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7"/>
        <w:gridCol w:w="6748"/>
      </w:tblGrid>
      <w:tr>
        <w:trPr/>
        <w:tc>
          <w:tcPr>
            <w:tcW w:w="3457" w:type="dxa"/>
            <w:tcBorders/>
            <w:vAlign w:val="center"/>
          </w:tcPr>
          <w:p>
            <w:pPr>
              <w:pStyle w:val="TableContents"/>
              <w:bidi w:val="0"/>
              <w:spacing w:before="0" w:after="283"/>
              <w:jc w:val="left"/>
              <w:rPr>
                <w:b/>
              </w:rPr>
            </w:pPr>
            <w:r>
              <w:rPr>
                <w:b/>
              </w:rPr>
              <w:t>Grant Date:</w:t>
            </w:r>
          </w:p>
        </w:tc>
        <w:tc>
          <w:tcPr>
            <w:tcW w:w="6748" w:type="dxa"/>
            <w:tcBorders/>
            <w:vAlign w:val="center"/>
          </w:tcPr>
          <w:p>
            <w:pPr>
              <w:pStyle w:val="TableContents"/>
              <w:bidi w:val="0"/>
              <w:spacing w:before="0" w:after="283"/>
              <w:jc w:val="left"/>
              <w:rPr/>
            </w:pPr>
            <w:r>
              <w:rPr/>
              <w:t>_____________________________________</w:t>
            </w:r>
          </w:p>
        </w:tc>
      </w:tr>
      <w:tr>
        <w:trPr/>
        <w:tc>
          <w:tcPr>
            <w:tcW w:w="3457" w:type="dxa"/>
            <w:tcBorders/>
            <w:vAlign w:val="center"/>
          </w:tcPr>
          <w:p>
            <w:pPr>
              <w:pStyle w:val="TableContents"/>
              <w:bidi w:val="0"/>
              <w:spacing w:before="0" w:after="283"/>
              <w:jc w:val="left"/>
              <w:rPr/>
            </w:pPr>
            <w:r>
              <w:rPr/>
              <w:t> </w:t>
            </w:r>
          </w:p>
        </w:tc>
        <w:tc>
          <w:tcPr>
            <w:tcW w:w="6748" w:type="dxa"/>
            <w:tcBorders/>
            <w:vAlign w:val="center"/>
          </w:tcPr>
          <w:p>
            <w:pPr>
              <w:pStyle w:val="TableContents"/>
              <w:bidi w:val="0"/>
              <w:spacing w:before="0" w:after="283"/>
              <w:jc w:val="left"/>
              <w:rPr/>
            </w:pPr>
            <w:r>
              <w:rPr/>
              <w:t> </w:t>
            </w:r>
          </w:p>
        </w:tc>
      </w:tr>
      <w:tr>
        <w:trPr/>
        <w:tc>
          <w:tcPr>
            <w:tcW w:w="3457" w:type="dxa"/>
            <w:tcBorders/>
            <w:vAlign w:val="center"/>
          </w:tcPr>
          <w:p>
            <w:pPr>
              <w:pStyle w:val="TableContents"/>
              <w:bidi w:val="0"/>
              <w:spacing w:before="0" w:after="283"/>
              <w:jc w:val="left"/>
              <w:rPr>
                <w:b/>
              </w:rPr>
            </w:pPr>
            <w:r>
              <w:rPr>
                <w:b/>
              </w:rPr>
              <w:t>Number of Shares as to which Option is Exercised:</w:t>
            </w:r>
          </w:p>
        </w:tc>
        <w:tc>
          <w:tcPr>
            <w:tcW w:w="6748" w:type="dxa"/>
            <w:tcBorders/>
            <w:vAlign w:val="center"/>
          </w:tcPr>
          <w:p>
            <w:pPr>
              <w:pStyle w:val="TableContents"/>
              <w:bidi w:val="0"/>
              <w:spacing w:before="0" w:after="283"/>
              <w:jc w:val="left"/>
              <w:rPr/>
            </w:pPr>
            <w:r>
              <w:rPr/>
              <w:t>_____________________________________</w:t>
            </w:r>
          </w:p>
        </w:tc>
      </w:tr>
      <w:tr>
        <w:trPr/>
        <w:tc>
          <w:tcPr>
            <w:tcW w:w="3457" w:type="dxa"/>
            <w:tcBorders/>
            <w:vAlign w:val="center"/>
          </w:tcPr>
          <w:p>
            <w:pPr>
              <w:pStyle w:val="TableContents"/>
              <w:bidi w:val="0"/>
              <w:spacing w:before="0" w:after="283"/>
              <w:jc w:val="left"/>
              <w:rPr/>
            </w:pPr>
            <w:r>
              <w:rPr/>
              <w:t> </w:t>
            </w:r>
          </w:p>
        </w:tc>
        <w:tc>
          <w:tcPr>
            <w:tcW w:w="6748" w:type="dxa"/>
            <w:tcBorders/>
            <w:vAlign w:val="center"/>
          </w:tcPr>
          <w:p>
            <w:pPr>
              <w:pStyle w:val="TableContents"/>
              <w:bidi w:val="0"/>
              <w:spacing w:before="0" w:after="283"/>
              <w:jc w:val="left"/>
              <w:rPr/>
            </w:pPr>
            <w:r>
              <w:rPr/>
              <w:t> </w:t>
            </w:r>
          </w:p>
        </w:tc>
      </w:tr>
      <w:tr>
        <w:trPr/>
        <w:tc>
          <w:tcPr>
            <w:tcW w:w="3457" w:type="dxa"/>
            <w:tcBorders/>
            <w:vAlign w:val="center"/>
          </w:tcPr>
          <w:p>
            <w:pPr>
              <w:pStyle w:val="TableContents"/>
              <w:bidi w:val="0"/>
              <w:spacing w:before="0" w:after="283"/>
              <w:jc w:val="left"/>
              <w:rPr>
                <w:b/>
              </w:rPr>
            </w:pPr>
            <w:r>
              <w:rPr>
                <w:b/>
              </w:rPr>
              <w:t>Exercise Price per Share:</w:t>
            </w:r>
          </w:p>
        </w:tc>
        <w:tc>
          <w:tcPr>
            <w:tcW w:w="6748" w:type="dxa"/>
            <w:tcBorders/>
            <w:vAlign w:val="center"/>
          </w:tcPr>
          <w:p>
            <w:pPr>
              <w:pStyle w:val="TableContents"/>
              <w:bidi w:val="0"/>
              <w:spacing w:before="0" w:after="283"/>
              <w:jc w:val="left"/>
              <w:rPr/>
            </w:pPr>
            <w:r>
              <w:rPr/>
              <w:t>$ ____________________________________</w:t>
            </w:r>
          </w:p>
        </w:tc>
      </w:tr>
      <w:tr>
        <w:trPr/>
        <w:tc>
          <w:tcPr>
            <w:tcW w:w="3457" w:type="dxa"/>
            <w:tcBorders/>
            <w:vAlign w:val="center"/>
          </w:tcPr>
          <w:p>
            <w:pPr>
              <w:pStyle w:val="TableContents"/>
              <w:bidi w:val="0"/>
              <w:spacing w:before="0" w:after="283"/>
              <w:jc w:val="left"/>
              <w:rPr/>
            </w:pPr>
            <w:r>
              <w:rPr/>
              <w:t> </w:t>
            </w:r>
          </w:p>
        </w:tc>
        <w:tc>
          <w:tcPr>
            <w:tcW w:w="6748" w:type="dxa"/>
            <w:tcBorders/>
            <w:vAlign w:val="center"/>
          </w:tcPr>
          <w:p>
            <w:pPr>
              <w:pStyle w:val="TableContents"/>
              <w:bidi w:val="0"/>
              <w:spacing w:before="0" w:after="283"/>
              <w:jc w:val="left"/>
              <w:rPr/>
            </w:pPr>
            <w:r>
              <w:rPr/>
              <w:t> </w:t>
            </w:r>
          </w:p>
        </w:tc>
      </w:tr>
      <w:tr>
        <w:trPr/>
        <w:tc>
          <w:tcPr>
            <w:tcW w:w="3457" w:type="dxa"/>
            <w:tcBorders/>
            <w:vAlign w:val="center"/>
          </w:tcPr>
          <w:p>
            <w:pPr>
              <w:pStyle w:val="TableContents"/>
              <w:bidi w:val="0"/>
              <w:spacing w:before="0" w:after="283"/>
              <w:jc w:val="left"/>
              <w:rPr>
                <w:b/>
              </w:rPr>
            </w:pPr>
            <w:r>
              <w:rPr>
                <w:b/>
              </w:rPr>
              <w:t>Total Exercise Price:</w:t>
            </w:r>
          </w:p>
        </w:tc>
        <w:tc>
          <w:tcPr>
            <w:tcW w:w="6748" w:type="dxa"/>
            <w:tcBorders/>
            <w:vAlign w:val="center"/>
          </w:tcPr>
          <w:p>
            <w:pPr>
              <w:pStyle w:val="TableContents"/>
              <w:bidi w:val="0"/>
              <w:spacing w:before="0" w:after="283"/>
              <w:jc w:val="left"/>
              <w:rPr/>
            </w:pPr>
            <w:r>
              <w:rPr/>
              <w:t>$ ____________________________________</w:t>
            </w:r>
          </w:p>
        </w:tc>
      </w:tr>
      <w:tr>
        <w:trPr/>
        <w:tc>
          <w:tcPr>
            <w:tcW w:w="3457" w:type="dxa"/>
            <w:tcBorders/>
            <w:vAlign w:val="center"/>
          </w:tcPr>
          <w:p>
            <w:pPr>
              <w:pStyle w:val="TableContents"/>
              <w:bidi w:val="0"/>
              <w:spacing w:before="0" w:after="283"/>
              <w:jc w:val="left"/>
              <w:rPr/>
            </w:pPr>
            <w:r>
              <w:rPr/>
              <w:t> </w:t>
            </w:r>
          </w:p>
        </w:tc>
        <w:tc>
          <w:tcPr>
            <w:tcW w:w="6748" w:type="dxa"/>
            <w:tcBorders/>
            <w:vAlign w:val="center"/>
          </w:tcPr>
          <w:p>
            <w:pPr>
              <w:pStyle w:val="TableContents"/>
              <w:bidi w:val="0"/>
              <w:spacing w:before="0" w:after="283"/>
              <w:jc w:val="left"/>
              <w:rPr/>
            </w:pPr>
            <w:r>
              <w:rPr/>
              <w:t> </w:t>
            </w:r>
          </w:p>
        </w:tc>
      </w:tr>
      <w:tr>
        <w:trPr/>
        <w:tc>
          <w:tcPr>
            <w:tcW w:w="3457" w:type="dxa"/>
            <w:tcBorders/>
            <w:vAlign w:val="center"/>
          </w:tcPr>
          <w:p>
            <w:pPr>
              <w:pStyle w:val="TableContents"/>
              <w:bidi w:val="0"/>
              <w:spacing w:before="0" w:after="283"/>
              <w:jc w:val="left"/>
              <w:rPr>
                <w:b/>
              </w:rPr>
            </w:pPr>
            <w:r>
              <w:rPr>
                <w:b/>
              </w:rPr>
              <w:t>Certificate to be issued or book entry to be made in name of:</w:t>
            </w:r>
          </w:p>
        </w:tc>
        <w:tc>
          <w:tcPr>
            <w:tcW w:w="6748" w:type="dxa"/>
            <w:tcBorders/>
            <w:vAlign w:val="center"/>
          </w:tcPr>
          <w:p>
            <w:pPr>
              <w:pStyle w:val="TableContents"/>
              <w:bidi w:val="0"/>
              <w:spacing w:before="0" w:after="283"/>
              <w:jc w:val="left"/>
              <w:rPr/>
            </w:pPr>
            <w:r>
              <w:rPr/>
              <w:t xml:space="preserve">  </w:t>
            </w:r>
            <w:r>
              <w:rPr/>
              <w:t>_____________________________________</w:t>
            </w:r>
          </w:p>
        </w:tc>
      </w:tr>
      <w:tr>
        <w:trPr/>
        <w:tc>
          <w:tcPr>
            <w:tcW w:w="3457" w:type="dxa"/>
            <w:tcBorders/>
            <w:vAlign w:val="center"/>
          </w:tcPr>
          <w:p>
            <w:pPr>
              <w:pStyle w:val="TableContents"/>
              <w:bidi w:val="0"/>
              <w:spacing w:before="0" w:after="283"/>
              <w:jc w:val="left"/>
              <w:rPr/>
            </w:pPr>
            <w:r>
              <w:rPr/>
              <w:t> </w:t>
            </w:r>
          </w:p>
        </w:tc>
        <w:tc>
          <w:tcPr>
            <w:tcW w:w="6748" w:type="dxa"/>
            <w:tcBorders/>
            <w:vAlign w:val="center"/>
          </w:tcPr>
          <w:p>
            <w:pPr>
              <w:pStyle w:val="TableContents"/>
              <w:bidi w:val="0"/>
              <w:spacing w:before="0" w:after="283"/>
              <w:jc w:val="left"/>
              <w:rPr/>
            </w:pPr>
            <w:r>
              <w:rPr/>
              <w:t> </w:t>
            </w:r>
          </w:p>
        </w:tc>
      </w:tr>
      <w:tr>
        <w:trPr/>
        <w:tc>
          <w:tcPr>
            <w:tcW w:w="3457" w:type="dxa"/>
            <w:tcBorders/>
            <w:vAlign w:val="center"/>
          </w:tcPr>
          <w:p>
            <w:pPr>
              <w:pStyle w:val="TableContents"/>
              <w:bidi w:val="0"/>
              <w:spacing w:before="0" w:after="283"/>
              <w:jc w:val="left"/>
              <w:rPr>
                <w:b/>
              </w:rPr>
            </w:pPr>
            <w:r>
              <w:rPr>
                <w:b/>
              </w:rPr>
              <w:t>Cash Payment delivered herewith:</w:t>
            </w:r>
          </w:p>
        </w:tc>
        <w:tc>
          <w:tcPr>
            <w:tcW w:w="6748" w:type="dxa"/>
            <w:tcBorders/>
            <w:vAlign w:val="center"/>
          </w:tcPr>
          <w:p>
            <w:pPr>
              <w:pStyle w:val="TableContents"/>
              <w:bidi w:val="0"/>
              <w:spacing w:before="0" w:after="283"/>
              <w:jc w:val="left"/>
              <w:rPr/>
            </w:pPr>
            <w:r>
              <w:rPr/>
              <w:t>$______________ (Representing the full Exercise Price for the Shares, as well as any applicable withholding tax)</w:t>
            </w:r>
          </w:p>
        </w:tc>
      </w:tr>
    </w:tbl>
    <w:p>
      <w:pPr>
        <w:pStyle w:val="TextBody"/>
        <w:bidi w:val="0"/>
        <w:spacing w:before="0" w:after="0"/>
        <w:ind w:left="0" w:right="0" w:firstLine="90"/>
        <w:jc w:val="left"/>
        <w:rPr>
          <w:caps w:val="false"/>
          <w:smallCaps w:val="false"/>
        </w:rPr>
      </w:pPr>
      <w:r>
        <w:rPr>
          <w:caps w:val="false"/>
          <w:smallCaps w:val="false"/>
        </w:rPr>
        <w:t> </w:t>
      </w:r>
    </w:p>
    <w:p>
      <w:pPr>
        <w:pStyle w:val="TextBody"/>
        <w:bidi w:val="0"/>
        <w:spacing w:before="0" w:after="0"/>
        <w:ind w:left="0" w:right="0" w:firstLine="9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Type of Option: </w:t>
      </w:r>
      <w:r>
        <w:rPr>
          <w:rFonts w:ascii="Times New Roman;Times;Serif" w:hAnsi="Times New Roman;Times;Serif"/>
          <w:b w:val="false"/>
          <w:i w:val="false"/>
          <w:caps w:val="false"/>
          <w:smallCaps w:val="false"/>
          <w:sz w:val="20"/>
        </w:rPr>
        <w:t>☐ Incentive Stock Option ☐ Non-Qualified Stock Option</w:t>
      </w:r>
    </w:p>
    <w:p>
      <w:pPr>
        <w:pStyle w:val="TextBody"/>
        <w:bidi w:val="0"/>
        <w:spacing w:before="0" w:after="0"/>
        <w:ind w:left="2016" w:right="0" w:hanging="2016"/>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Representations of Participant</w:t>
      </w:r>
      <w:r>
        <w:rPr>
          <w:rFonts w:ascii="Times New Roman;Times;Serif" w:hAnsi="Times New Roman;Times;Serif"/>
          <w:b w:val="false"/>
          <w:i w:val="false"/>
          <w:caps w:val="false"/>
          <w:smallCaps w:val="false"/>
          <w:sz w:val="20"/>
        </w:rPr>
        <w:t>. Participant acknowledges that Participant has received, read and understood the Plan and the Option Agreement. Participant agrees to abide by and be bound by their terms and conditions. To the extent the Shares are issued in uncertificated form, Participant also acknowledges and agrees that this Exercise Notice constitutes the notice required by Section 151(f) of the Delaware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Tax Consultation</w:t>
      </w:r>
      <w:r>
        <w:rPr>
          <w:rFonts w:ascii="Times New Roman;Times;Serif" w:hAnsi="Times New Roman;Times;Serif"/>
          <w:b w:val="false"/>
          <w:i w:val="false"/>
          <w:caps w:val="false"/>
          <w:smallCaps w:val="false"/>
          <w:sz w:val="20"/>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Restrictive Legends and Stop-Transfer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Participant understands and agrees that the Company shall cause any certificates issued evidencing the Shares to have the legends set forth below or legends substantially equivalent thereto, together with any other legends that may be required by state or federal securities laws: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HEREBY HAVE NOT BEEN REGISTERED UNDER THE SECURITIES ACT OF 1933, AS AMENDED (“ACT”), NOR HAVE THEY BEEN REGISTERED OR QUALIFIED UNDER THE SECURITIES LAWS OF ANY STATE. NO TRANSFER OF SUCH SECURITIES WILL BE PERMITTED UNLESS A REGISTRATION STATEMENT UNDER THE ACT IS IN EFFECT AS TO SUCH TRANSFER, THE TRANSFER IS MADE IN ACCORDANCE WITH RULE 144 UNDER THE ACT, OR IN THE OPINION OF COUNSEL (WHICH MAY BE COUNSEL FOR THE COMPANY) REGISTRATION UNDER THE ACT IS UNNECESSARY IN ORDER FOR SUCH TRANSFER TO COMPLY WITH THE ACT AND WITH APPLICABLE STATE SECURITIES LAWS.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BY THIS CERTIFICATE ARE SUBJECT TO CERTAIN RESTRICTIONS ON TRANSFER AND A RIGHT OF FIRST REFUSAL HELD BY THE ISSUER OR ITS ASSIGNEE(S) AS SET FORTH IN THE PLAN PURSUANT TO WHICH THESE SHARES WERE ISSUED, A COPY OF WHICH MAY BE OBTAINED AT THE PRINCIPAL OFFICE OF THE ISSUER. SUCH TRANSFER RESTRICTIONS AND RIGHT OF FIRST REFUSAL ARE BINDING ON TRANSFEREES OF THESE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To the extent the Shares are issued in uncertificated form, this Section 3 provides the Participant with notice that the Shares are subject to the aforementioned restrictions in satisfaction of the notice requirement set forth in Section 151(f) of the Delaware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required or permitted hereunder shall be given in accordance with the provisions set forth in Section 4.2 of the Option Agreement.</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5.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w:t>
      </w:r>
    </w:p>
    <w:p>
      <w:pPr>
        <w:pStyle w:val="TextBody"/>
        <w:bidi w:val="0"/>
        <w:spacing w:before="0" w:after="0"/>
        <w:ind w:left="0" w:right="0" w:hanging="0"/>
        <w:jc w:val="left"/>
        <w:rPr/>
      </w:pPr>
      <w:r>
        <w:rPr/>
        <w:t> </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5 shall not apply to a registration relating solely to employee benefit plans on Form S-1 or Form S-8 or similar forms that may be promulgated in the future, or a registration relating solely to a Securities and Exchange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Further Instruments</w:t>
      </w:r>
      <w:r>
        <w:rPr>
          <w:rFonts w:ascii="Times New Roman;Times;Serif" w:hAnsi="Times New Roman;Times;Serif"/>
          <w:b w:val="false"/>
          <w:i w:val="false"/>
          <w:caps w:val="false"/>
          <w:smallCaps w:val="false"/>
          <w:sz w:val="20"/>
        </w:rPr>
        <w:t xml:space="preserve">. Participant hereby agrees to execute such further instruments, including, without limitation, the Investment Representation Statement in the form attached hereto as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and to take such further action as the Company determines are reasonably necessary to carry out the purposes and intent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The Plan, the Investment Representation Statement in the form attached hereto as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xml:space="preserve">, the Option Agreement and any written employment agreement (including an offer letter) between Participant and the Company providing for acceleration of vesting of equity awards upon certain events are incorporated herein by reference. This Agreement, the Plan, the Investment Representation Statement in the form attached hereto as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the Option Agreement and any written employment agreement (including an offer letter) between Participant and the Company providing for acceleration of vesting of equity awards upon certain events constitute the entire agreement of the parties and supersede in their entirety all prior undertakings and agreements of the Company and Participant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3695"/>
        <w:gridCol w:w="4415"/>
      </w:tblGrid>
      <w:tr>
        <w:trPr/>
        <w:tc>
          <w:tcPr>
            <w:tcW w:w="3695" w:type="dxa"/>
            <w:tcBorders/>
            <w:vAlign w:val="center"/>
          </w:tcPr>
          <w:p>
            <w:pPr>
              <w:pStyle w:val="TableContents"/>
              <w:bidi w:val="0"/>
              <w:spacing w:before="0" w:after="283"/>
              <w:jc w:val="left"/>
              <w:rPr>
                <w:b/>
              </w:rPr>
            </w:pPr>
            <w:r>
              <w:rPr>
                <w:b/>
              </w:rPr>
              <w:t xml:space="preserve">ACCEPTED BY: </w:t>
            </w:r>
          </w:p>
        </w:tc>
        <w:tc>
          <w:tcPr>
            <w:tcW w:w="4415" w:type="dxa"/>
            <w:tcBorders/>
            <w:vAlign w:val="center"/>
          </w:tcPr>
          <w:p>
            <w:pPr>
              <w:pStyle w:val="TableContents"/>
              <w:bidi w:val="0"/>
              <w:spacing w:before="0" w:after="283"/>
              <w:jc w:val="left"/>
              <w:rPr>
                <w:b/>
              </w:rPr>
            </w:pPr>
            <w:r>
              <w:rPr>
                <w:b/>
              </w:rPr>
              <w:t>SUBMITTED BY</w:t>
            </w:r>
          </w:p>
        </w:tc>
      </w:tr>
      <w:tr>
        <w:trPr/>
        <w:tc>
          <w:tcPr>
            <w:tcW w:w="3695"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b/>
              </w:rPr>
            </w:pPr>
            <w:r>
              <w:rPr>
                <w:b/>
              </w:rPr>
              <w:t>Merlin Labs, Inc.</w:t>
            </w:r>
          </w:p>
        </w:tc>
        <w:tc>
          <w:tcPr>
            <w:tcW w:w="4415" w:type="dxa"/>
            <w:tcBorders/>
            <w:vAlign w:val="center"/>
          </w:tcPr>
          <w:p>
            <w:pPr>
              <w:pStyle w:val="TableContents"/>
              <w:bidi w:val="0"/>
              <w:spacing w:before="0" w:after="283"/>
              <w:jc w:val="left"/>
              <w:rPr>
                <w:b/>
              </w:rPr>
            </w:pPr>
            <w:r>
              <w:rPr>
                <w:b/>
              </w:rPr>
              <w:t>PARTICIPANT:</w:t>
            </w:r>
          </w:p>
        </w:tc>
      </w:tr>
      <w:tr>
        <w:trPr/>
        <w:tc>
          <w:tcPr>
            <w:tcW w:w="3695"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By:___________________________</w:t>
            </w:r>
          </w:p>
        </w:tc>
        <w:tc>
          <w:tcPr>
            <w:tcW w:w="4415" w:type="dxa"/>
            <w:tcBorders/>
            <w:vAlign w:val="center"/>
          </w:tcPr>
          <w:p>
            <w:pPr>
              <w:pStyle w:val="TableContents"/>
              <w:bidi w:val="0"/>
              <w:spacing w:before="0" w:after="283"/>
              <w:jc w:val="left"/>
              <w:rPr/>
            </w:pPr>
            <w:r>
              <w:rPr/>
              <w:t>By:_________________________________</w:t>
            </w:r>
          </w:p>
        </w:tc>
      </w:tr>
      <w:tr>
        <w:trPr/>
        <w:tc>
          <w:tcPr>
            <w:tcW w:w="3695" w:type="dxa"/>
            <w:tcBorders/>
            <w:vAlign w:val="center"/>
          </w:tcPr>
          <w:p>
            <w:pPr>
              <w:pStyle w:val="TableContents"/>
              <w:bidi w:val="0"/>
              <w:spacing w:before="0" w:after="283"/>
              <w:jc w:val="left"/>
              <w:rPr/>
            </w:pPr>
            <w:r>
              <w:rPr/>
              <w:t>Print Name:_____________________</w:t>
            </w:r>
          </w:p>
        </w:tc>
        <w:tc>
          <w:tcPr>
            <w:tcW w:w="4415" w:type="dxa"/>
            <w:tcBorders/>
            <w:vAlign w:val="center"/>
          </w:tcPr>
          <w:p>
            <w:pPr>
              <w:pStyle w:val="TableContents"/>
              <w:bidi w:val="0"/>
              <w:spacing w:before="0" w:after="283"/>
              <w:jc w:val="left"/>
              <w:rPr/>
            </w:pPr>
            <w:r>
              <w:rPr/>
              <w:t>Print Name:___________________________</w:t>
            </w:r>
          </w:p>
        </w:tc>
      </w:tr>
      <w:tr>
        <w:trPr/>
        <w:tc>
          <w:tcPr>
            <w:tcW w:w="3695"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Address: ____________________________</w:t>
            </w:r>
          </w:p>
        </w:tc>
      </w:tr>
      <w:tr>
        <w:trPr/>
        <w:tc>
          <w:tcPr>
            <w:tcW w:w="3695"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r>
              <w:rPr>
                <w:sz w:val="24"/>
              </w:rPr>
              <w:t>_________________________</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REPRESENTATION STATEMENT</w:t>
      </w:r>
    </w:p>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325"/>
        <w:gridCol w:w="2030"/>
      </w:tblGrid>
      <w:tr>
        <w:trPr/>
        <w:tc>
          <w:tcPr>
            <w:tcW w:w="3355" w:type="dxa"/>
            <w:gridSpan w:val="2"/>
            <w:tcBorders/>
            <w:vAlign w:val="center"/>
          </w:tcPr>
          <w:p>
            <w:pPr>
              <w:pStyle w:val="TableContents"/>
              <w:bidi w:val="0"/>
              <w:spacing w:before="0" w:after="283"/>
              <w:jc w:val="left"/>
              <w:rPr/>
            </w:pPr>
            <w:r>
              <w:rPr/>
              <w:t>PARTICIPANT:</w:t>
            </w:r>
          </w:p>
        </w:tc>
      </w:tr>
      <w:tr>
        <w:trPr/>
        <w:tc>
          <w:tcPr>
            <w:tcW w:w="3355" w:type="dxa"/>
            <w:gridSpan w:val="2"/>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COMPANY:</w:t>
            </w:r>
          </w:p>
        </w:tc>
        <w:tc>
          <w:tcPr>
            <w:tcW w:w="2030" w:type="dxa"/>
            <w:tcBorders/>
            <w:vAlign w:val="center"/>
          </w:tcPr>
          <w:p>
            <w:pPr>
              <w:pStyle w:val="TableContents"/>
              <w:bidi w:val="0"/>
              <w:spacing w:before="0" w:after="283"/>
              <w:jc w:val="left"/>
              <w:rPr/>
            </w:pPr>
            <w:r>
              <w:rPr/>
              <w:t>Merlin Labs, Inc.</w:t>
            </w:r>
          </w:p>
        </w:tc>
      </w:tr>
      <w:tr>
        <w:trPr/>
        <w:tc>
          <w:tcPr>
            <w:tcW w:w="3355" w:type="dxa"/>
            <w:gridSpan w:val="2"/>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SECURITY:</w:t>
            </w:r>
          </w:p>
        </w:tc>
        <w:tc>
          <w:tcPr>
            <w:tcW w:w="2030" w:type="dxa"/>
            <w:tcBorders/>
            <w:vAlign w:val="center"/>
          </w:tcPr>
          <w:p>
            <w:pPr>
              <w:pStyle w:val="TableContents"/>
              <w:bidi w:val="0"/>
              <w:spacing w:before="0" w:after="283"/>
              <w:jc w:val="left"/>
              <w:rPr/>
            </w:pPr>
            <w:r>
              <w:rPr/>
              <w:t>COMMON STOCK</w:t>
            </w:r>
          </w:p>
        </w:tc>
      </w:tr>
      <w:tr>
        <w:trPr/>
        <w:tc>
          <w:tcPr>
            <w:tcW w:w="3355" w:type="dxa"/>
            <w:gridSpan w:val="2"/>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AMOUNT:</w:t>
            </w:r>
          </w:p>
        </w:tc>
        <w:tc>
          <w:tcPr>
            <w:tcW w:w="2030" w:type="dxa"/>
            <w:tcBorders/>
            <w:vAlign w:val="center"/>
          </w:tcPr>
          <w:p>
            <w:pPr>
              <w:pStyle w:val="TableContents"/>
              <w:bidi w:val="0"/>
              <w:spacing w:before="0" w:after="283"/>
              <w:jc w:val="left"/>
              <w:rPr/>
            </w:pPr>
            <w:r>
              <w:rPr/>
              <w:t> </w:t>
            </w:r>
          </w:p>
        </w:tc>
      </w:tr>
      <w:tr>
        <w:trPr/>
        <w:tc>
          <w:tcPr>
            <w:tcW w:w="3355" w:type="dxa"/>
            <w:gridSpan w:val="2"/>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DATE:</w:t>
            </w:r>
          </w:p>
        </w:tc>
        <w:tc>
          <w:tcPr>
            <w:tcW w:w="20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of the above-listed shares of Common Stock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of Merlin Labs,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undersigned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represents to the Company the following:</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1. 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United States Securities Act of 1933, as amended (the “</w:t>
      </w:r>
      <w:r>
        <w:rPr>
          <w:rFonts w:ascii="Times New Roman;Times;Serif" w:hAnsi="Times New Roman;Times;Serif"/>
          <w:b w:val="false"/>
          <w:i w:val="false"/>
          <w:caps/>
          <w:sz w:val="20"/>
          <w:u w:val="single"/>
        </w:rPr>
        <w:t>Securities Act</w:t>
      </w:r>
      <w:r>
        <w:rPr>
          <w:rFonts w:ascii="Times New Roman;Times;Serif" w:hAnsi="Times New Roman;Times;Serif"/>
          <w:b w:val="false"/>
          <w:i w:val="false"/>
          <w:caps/>
          <w:sz w:val="20"/>
        </w:rPr>
        <w:t>”).</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2. 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United States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any certificate evidencing the Securities will be imprinted with a legend which prohibits the transfer of the Securities unless they are registered or such registration is not required in the opinion of counsel satisfactory to the Company and any other legend required under applicable securities laws or agreements.</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B-1-1</w:t>
      </w:r>
    </w:p>
    <w:p>
      <w:pPr>
        <w:pStyle w:val="TextBody"/>
        <w:bidi w:val="0"/>
        <w:spacing w:before="0" w:after="0"/>
        <w:ind w:left="0" w:right="0" w:hanging="0"/>
        <w:jc w:val="left"/>
        <w:rPr/>
      </w:pPr>
      <w:r>
        <w:rPr/>
        <w:t> </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3. 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will be exempt from registration under the Securities Act. In the event the Company becomes subject to the reporting requirements of Section 13 or 15(d) of the United States Securities Exchange Act of 1934, ninety (90) days thereafter (or such longer period as any market stand-off agreement may require) the Securities exempt under Rule 701 may under present law be resold, subject to the satisfaction of certain of the conditions specified by Rule 144, including: (1) the resale being made through a broker in an unsolicited “broker’s transaction” or in transactions directly with a market maker (as said term is defined under the United States Securities Exchange Act of 1934); and, in the case of an affiliate, (2) the availability of certain public information about the Company, (3) the amount of Securities being sold during any three (3) month period not exceeding the limitations specified in Rule 144(e), and (4) the timely filing of a Form 144, if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does not qualify under Rule 701 at the time of grant of the Option, then the Securities may be resold in certain limited circumstances subject to the provisions of Rule 144, which, effective as of February 15, 2008, requires the resale to occur not less than six months, or, in the event the Company is not subject to the reporting requirements of Section 13 or 15(d) of the Securities Exchange Act of 1934, not less than one year, after the later of the date the Securities were sold by the Company or the date the Securities were sold by an affiliate of the Company, within the meaning of Rule 144; and, in the case of acquisition of the Securities by an affiliate, the satisfaction of the conditions set forth in sections (1), (2), (3) and (4) of the paragraph immediately above or, in the case of a non-affiliate who subsequently hold the Securities less than one year, the satisfaction of the conditions set forth in section (2) of the paragraph immediately above.</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4. Participant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United States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will be available in such event.</w:t>
      </w:r>
    </w:p>
    <w:p>
      <w:pPr>
        <w:pStyle w:val="TextBody"/>
        <w:bidi w:val="0"/>
        <w:spacing w:before="0" w:after="0"/>
        <w:ind w:left="4320" w:right="0" w:hanging="0"/>
        <w:jc w:val="left"/>
        <w:rPr>
          <w:caps w:val="false"/>
          <w:smallCaps w:val="false"/>
        </w:rPr>
      </w:pPr>
      <w:r>
        <w:rPr>
          <w:caps w:val="false"/>
          <w:smallCaps w:val="false"/>
        </w:rPr>
        <w:t> </w:t>
      </w:r>
    </w:p>
    <w:tbl>
      <w:tblPr>
        <w:tblW w:w="2389" w:type="dxa"/>
        <w:jc w:val="left"/>
        <w:tblInd w:w="0" w:type="dxa"/>
        <w:tblLayout w:type="fixed"/>
        <w:tblCellMar>
          <w:top w:w="0" w:type="dxa"/>
          <w:left w:w="0" w:type="dxa"/>
          <w:bottom w:w="0" w:type="dxa"/>
          <w:right w:w="0" w:type="dxa"/>
        </w:tblCellMar>
      </w:tblPr>
      <w:tblGrid>
        <w:gridCol w:w="75"/>
        <w:gridCol w:w="637"/>
        <w:gridCol w:w="1677"/>
      </w:tblGrid>
      <w:tr>
        <w:trPr/>
        <w:tc>
          <w:tcPr>
            <w:tcW w:w="75"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pPr>
            <w:r>
              <w:rPr/>
              <w:t>Signature of Participant:</w:t>
            </w:r>
          </w:p>
        </w:tc>
      </w:tr>
      <w:tr>
        <w:trPr/>
        <w:tc>
          <w:tcPr>
            <w:tcW w:w="75" w:type="dxa"/>
            <w:tcBorders/>
            <w:vAlign w:val="center"/>
          </w:tcPr>
          <w:p>
            <w:pPr>
              <w:pStyle w:val="TableContents"/>
              <w:bidi w:val="0"/>
              <w:spacing w:before="0" w:after="283"/>
              <w:jc w:val="left"/>
              <w:rPr/>
            </w:pPr>
            <w:r>
              <w:rPr/>
              <w:t> </w:t>
            </w:r>
          </w:p>
        </w:tc>
        <w:tc>
          <w:tcPr>
            <w:tcW w:w="231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Date:</w:t>
            </w:r>
          </w:p>
        </w:tc>
        <w:tc>
          <w:tcPr>
            <w:tcW w:w="1677"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B-1-2</w:t>
      </w:r>
    </w:p>
    <w:p>
      <w:pPr>
        <w:pStyle w:val="TextBody"/>
        <w:bidi w:val="0"/>
        <w:spacing w:before="0" w:after="0"/>
        <w:ind w:left="4320" w:right="0" w:hanging="0"/>
        <w:jc w:val="left"/>
        <w:rPr>
          <w:caps w:val="false"/>
          <w:smallCaps w:val="false"/>
        </w:rPr>
      </w:pPr>
      <w:r>
        <w:rPr>
          <w:caps w:val="false"/>
          <w:smallCaps w:val="false"/>
        </w:rPr>
        <w:t> </w:t>
      </w:r>
    </w:p>
    <w:p>
      <w:pPr>
        <w:pStyle w:val="TextBody"/>
        <w:bidi w:val="0"/>
        <w:jc w:val="right"/>
        <w:rPr>
          <w:b/>
        </w:rPr>
      </w:pPr>
      <w:bookmarkStart w:id="64" w:name="ea028257401ex10-11.htm"/>
      <w:bookmarkStart w:id="65" w:name="ksea028257401ex1011"/>
      <w:bookmarkEnd w:id="64"/>
      <w:bookmarkEnd w:id="65"/>
      <w:r>
        <w:rPr>
          <w:b/>
        </w:rPr>
        <w:t>Exhibit 10.11</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SEVERANCE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Merlin,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adopted this Merlin, Inc. Executive Severance Plan, including the attached Exhibits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for the benefit of Participants (as defined below) on the terms and conditions hereinafter stated. The Plan, as set forth herein, is intended to provide severance protections to a select group of management or highly compensated employees (within the meaning of ERISA (as defined below)) in connection with qualifying terminations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Defined Terms</w:t>
      </w:r>
      <w:r>
        <w:rPr>
          <w:rFonts w:ascii="Times New Roman;Times;Serif" w:hAnsi="Times New Roman;Times;Serif"/>
          <w:b w:val="false"/>
          <w:i w:val="false"/>
          <w:caps w:val="false"/>
          <w:smallCaps w:val="false"/>
          <w:sz w:val="20"/>
        </w:rPr>
        <w:t>. Capitalized terms used but not otherwise defined herein shall have the meanings indicated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2026 Plan</w:t>
      </w:r>
      <w:r>
        <w:rPr>
          <w:rFonts w:ascii="Times New Roman;Times;Serif" w:hAnsi="Times New Roman;Times;Serif"/>
          <w:b w:val="false"/>
          <w:i w:val="false"/>
          <w:caps w:val="false"/>
          <w:smallCaps w:val="false"/>
          <w:sz w:val="20"/>
        </w:rPr>
        <w:t>” means the Merlin, Inc. 2026 Incentive Award Plan, as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means the Participant’s (a) base salary otherwise payable through the Date of Termination, and (b) unreimbursed business expenses incurred prior to the Date of Termination that are reimbursable under Company policies then in effect.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the Compensation Committee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means the Participant’s annual base salary rate in effect immediately prior to a Qualifying Termination (and, if applicable, disregarding any reduction which gives rise to Good Reason).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in respect of a Participant: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Participant’s unauthorized use or disclosure of confidential information or trade secrets of the Company or any of its subsidiaries or any material breach of a written agreement between the Participant and the Company or any of its subsidiaries, including without limitation a material breach of any employment, confidentiality, non-compete, non-solicit or similar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Participant’s commission of, indictment for or the entry of a plea of guilty or nolo contendere by the Participant to, a felony under the laws of the United States or any state thereof or any crime involving dishonesty or moral turpitude (or any similar crime in any jurisdiction outside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Participant’s negligence or willful misconduct in the performance of the Participant’s duties or the Participant’s willful or repeated failure or refusal to substantially perform assigned duties;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act of fraud, embezzlement, material misappropriation or dishonesty committed by the Participant against the Company or any of its subsidiaries;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acts, omissions or statements by a Participant which the Company determines to be materially detrimental or damaging to the reputation, operations, prospects or business relations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findings and decision of the Administrator with respect to any Cause determination will be final and binding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shall have the meaning set forth in the 2026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CIC Protection Period</w:t>
      </w:r>
      <w:r>
        <w:rPr>
          <w:rFonts w:ascii="Times New Roman;Times;Serif" w:hAnsi="Times New Roman;Times;Serif"/>
          <w:b w:val="false"/>
          <w:i w:val="false"/>
          <w:caps w:val="false"/>
          <w:smallCaps w:val="false"/>
          <w:sz w:val="20"/>
        </w:rPr>
        <w:t>” means the period beginning on the date of a Change in Control and ending on and including the one-year anniversary of the date of a Change in Control.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CIC Termination</w:t>
      </w:r>
      <w:r>
        <w:rPr>
          <w:rFonts w:ascii="Times New Roman;Times;Serif" w:hAnsi="Times New Roman;Times;Serif"/>
          <w:b w:val="false"/>
          <w:i w:val="false"/>
          <w:caps w:val="false"/>
          <w:smallCaps w:val="false"/>
          <w:sz w:val="20"/>
        </w:rPr>
        <w:t>” means (i) if a Participant has been designated to participate in the Plan at a Tier 1 or Tier 2 participation level, a termination of the Participant’s employment by the Company or its subsidiary without Cause or a termination of the Participant’s employment by the Participant for Good Reason, in either case, which occurs during the CIC Protection Period, or (ii) if a Participant has been designated to participate in the Plan at a Tier 3 participation level, a termination of the Participant’s employment by the Company or its subsidiary without Cause which occurs during the CIC Protection Period. A CIC Termination shall not include a termination of employment due to the Participant’s death or disability.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Claimant</w:t>
      </w:r>
      <w:r>
        <w:rPr>
          <w:rFonts w:ascii="Times New Roman;Times;Serif" w:hAnsi="Times New Roman;Times;Serif"/>
          <w:b w:val="false"/>
          <w:i w:val="false"/>
          <w:caps w:val="false"/>
          <w:smallCaps w:val="false"/>
          <w:sz w:val="20"/>
        </w:rPr>
        <w:t xml:space="preserve">” shall have the meaning set forth in Section 1.2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means the Consolidated Omnibus Budget Reconciliation Act of 1985,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COBRA Period</w:t>
      </w:r>
      <w:r>
        <w:rPr>
          <w:rFonts w:ascii="Times New Roman;Times;Serif" w:hAnsi="Times New Roman;Times;Serif"/>
          <w:b w:val="false"/>
          <w:i w:val="false"/>
          <w:caps w:val="false"/>
          <w:smallCaps w:val="false"/>
          <w:sz w:val="20"/>
        </w:rPr>
        <w:t xml:space="preserve">” means the number of months of COBRA Premium Payments that a Participant may be entitled to receive, as determined in accordance with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(based on the Participant’s participation Tier).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COBRA Premium Payment</w:t>
      </w:r>
      <w:r>
        <w:rPr>
          <w:rFonts w:ascii="Times New Roman;Times;Serif" w:hAnsi="Times New Roman;Times;Serif"/>
          <w:b w:val="false"/>
          <w:i w:val="false"/>
          <w:caps w:val="false"/>
          <w:smallCaps w:val="false"/>
          <w:sz w:val="20"/>
        </w:rPr>
        <w:t>” shall have the meaning set forth in Section ‎4.2(d)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or any successor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val="false"/>
          <w:i w:val="false"/>
          <w:caps w:val="false"/>
          <w:smallCaps w:val="false"/>
          <w:sz w:val="20"/>
          <w:u w:val="single"/>
        </w:rPr>
        <w:t>Date of Termination</w:t>
      </w:r>
      <w:r>
        <w:rPr>
          <w:rFonts w:ascii="Times New Roman;Times;Serif" w:hAnsi="Times New Roman;Times;Serif"/>
          <w:b w:val="false"/>
          <w:i w:val="false"/>
          <w:caps w:val="false"/>
          <w:smallCaps w:val="false"/>
          <w:sz w:val="20"/>
        </w:rPr>
        <w:t>” means the effective date of the termination of the Participant’s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have the meaning set forth in Section‎ 2 hereof.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means an individual who is an employee of the Company or any of its subsidiaries.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val="false"/>
          <w:i w:val="false"/>
          <w:caps w:val="false"/>
          <w:smallCaps w:val="false"/>
          <w:sz w:val="20"/>
          <w:u w:val="single"/>
        </w:rPr>
        <w:t>Equity Award</w:t>
      </w:r>
      <w:r>
        <w:rPr>
          <w:rFonts w:ascii="Times New Roman;Times;Serif" w:hAnsi="Times New Roman;Times;Serif"/>
          <w:b w:val="false"/>
          <w:i w:val="false"/>
          <w:caps w:val="false"/>
          <w:smallCaps w:val="false"/>
          <w:sz w:val="20"/>
        </w:rPr>
        <w:t>” means a Company equity award granted under the Merlin, Inc. 2018 Equity Incentive Plan, as amended, the 2026 Plan, or any successor equity compensation plan adopted by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and the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w:t>
      </w:r>
      <w:r>
        <w:rPr>
          <w:rFonts w:ascii="Times New Roman;Times;Serif" w:hAnsi="Times New Roman;Times;Serif"/>
          <w:b w:val="false"/>
          <w:i w:val="false"/>
          <w:caps w:val="false"/>
          <w:smallCaps w:val="false"/>
          <w:sz w:val="20"/>
          <w:u w:val="single"/>
        </w:rPr>
        <w:t>Excise Tax</w:t>
      </w:r>
      <w:r>
        <w:rPr>
          <w:rFonts w:ascii="Times New Roman;Times;Serif" w:hAnsi="Times New Roman;Times;Serif"/>
          <w:b w:val="false"/>
          <w:i w:val="false"/>
          <w:caps w:val="false"/>
          <w:smallCaps w:val="false"/>
          <w:sz w:val="20"/>
        </w:rPr>
        <w:t>” shall have the meaning set forth in Section ‎7.1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means the occurrence of any one or more of the following events without the Participant’s prior written consent, unless the Company fully corrects the circumstances constituting Good Reason (provided such circumstances are capable of correction) as provided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material diminution in Base Salary in effect immediately prior to the Participant’s resignation for Good Reason;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transfer of the Participant’s primary workplace by more than 50 miles from its existing location by action of the Company;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material diminution in title, authority, responsibilities or duties, excluding for this purpose any isolated, insubstantial or inadvertent actions not taken in bad faith and which are remedied by the Company promptly after receipt of notice thereof given by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Participant will not be deemed to have resigned for Good Reason unless (1) the Participant provides written notice to the Company setting forth in reasonable detail the facts and circumstances claimed by the Participant to constitute Good Reason within 90 days after the date of the occurrence of any event that the Participant knows or should reasonably have known to constitute Good Reason; (2) the Company fails to cure such acts or omissions within 30 days following its receipt of such notice; and (3) the effective date of the Participant’s termination for Good Reason occurs no later than 60 days after the expiration of the Company’s cure period. With respect to the foregoing definition, the term “Company” will be interpreted to include any subsidiary or parent, if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val="false"/>
          <w:i w:val="false"/>
          <w:caps w:val="false"/>
          <w:smallCaps w:val="false"/>
          <w:sz w:val="20"/>
          <w:u w:val="single"/>
        </w:rPr>
        <w:t>Independent Advisors</w:t>
      </w:r>
      <w:r>
        <w:rPr>
          <w:rFonts w:ascii="Times New Roman;Times;Serif" w:hAnsi="Times New Roman;Times;Serif"/>
          <w:b w:val="false"/>
          <w:i w:val="false"/>
          <w:caps w:val="false"/>
          <w:smallCaps w:val="false"/>
          <w:sz w:val="20"/>
        </w:rPr>
        <w:t>” shall have the meaning set forth in Section ‎7.2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each Employee who is selected by the Administrator to participate in the Plan, other than any Employee who, at the time of his or her termination of employment, is covered by a plan or agreement with the Company or a subsidiary that explicitly supersedes and/or replaces the payments and benefits provided under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val="false"/>
          <w:i w:val="false"/>
          <w:caps w:val="false"/>
          <w:smallCaps w:val="false"/>
          <w:sz w:val="20"/>
          <w:u w:val="single"/>
        </w:rPr>
        <w:t>Participation Notice</w:t>
      </w:r>
      <w:r>
        <w:rPr>
          <w:rFonts w:ascii="Times New Roman;Times;Serif" w:hAnsi="Times New Roman;Times;Serif"/>
          <w:b w:val="false"/>
          <w:i w:val="false"/>
          <w:caps w:val="false"/>
          <w:smallCaps w:val="false"/>
          <w:sz w:val="20"/>
        </w:rPr>
        <w:t>” shall have the meaning set forth in Section ‎2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val="false"/>
          <w:i w:val="false"/>
          <w:caps w:val="false"/>
          <w:smallCaps w:val="false"/>
          <w:sz w:val="20"/>
          <w:u w:val="single"/>
        </w:rPr>
        <w:t>Performance-Vesting Award</w:t>
      </w:r>
      <w:r>
        <w:rPr>
          <w:rFonts w:ascii="Times New Roman;Times;Serif" w:hAnsi="Times New Roman;Times;Serif"/>
          <w:b w:val="false"/>
          <w:i w:val="false"/>
          <w:caps w:val="false"/>
          <w:smallCaps w:val="false"/>
          <w:sz w:val="20"/>
        </w:rPr>
        <w:t>” means an Equity Award that remains subject to achievement of any performance goal(s) as of the Date of Termination.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val="false"/>
          <w:i w:val="false"/>
          <w:caps w:val="false"/>
          <w:smallCaps w:val="false"/>
          <w:sz w:val="20"/>
          <w:u w:val="single"/>
        </w:rPr>
        <w:t>Prior Year Bonus</w:t>
      </w:r>
      <w:r>
        <w:rPr>
          <w:rFonts w:ascii="Times New Roman;Times;Serif" w:hAnsi="Times New Roman;Times;Serif"/>
          <w:b w:val="false"/>
          <w:i w:val="false"/>
          <w:caps w:val="false"/>
          <w:smallCaps w:val="false"/>
          <w:sz w:val="20"/>
        </w:rPr>
        <w:t>” means the Participant’s cash performance bonus, if any, for the year preceding the year in which the Date of Termination occurs.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val="false"/>
          <w:i w:val="false"/>
          <w:caps w:val="false"/>
          <w:smallCaps w:val="false"/>
          <w:sz w:val="20"/>
          <w:u w:val="single"/>
        </w:rPr>
        <w:t>Pro-Rata Bonus</w:t>
      </w:r>
      <w:r>
        <w:rPr>
          <w:rFonts w:ascii="Times New Roman;Times;Serif" w:hAnsi="Times New Roman;Times;Serif"/>
          <w:b w:val="false"/>
          <w:i w:val="false"/>
          <w:caps w:val="false"/>
          <w:smallCaps w:val="false"/>
          <w:sz w:val="20"/>
        </w:rPr>
        <w:t>” shall have the meaning set forth in Section ‎4.2(c)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w:t>
      </w:r>
      <w:r>
        <w:rPr>
          <w:rFonts w:ascii="Times New Roman;Times;Serif" w:hAnsi="Times New Roman;Times;Serif"/>
          <w:b w:val="false"/>
          <w:i w:val="false"/>
          <w:caps w:val="false"/>
          <w:smallCaps w:val="false"/>
          <w:sz w:val="20"/>
          <w:u w:val="single"/>
        </w:rPr>
        <w:t>Qualifying Termination</w:t>
      </w:r>
      <w:r>
        <w:rPr>
          <w:rFonts w:ascii="Times New Roman;Times;Serif" w:hAnsi="Times New Roman;Times;Serif"/>
          <w:b w:val="false"/>
          <w:i w:val="false"/>
          <w:caps w:val="false"/>
          <w:smallCaps w:val="false"/>
          <w:sz w:val="20"/>
        </w:rPr>
        <w:t>” means (i) if a Participant has been designated to participate in the Plan at a Tier 1 or Tier 2 participation level, a termination of the Participant’s employment by the Company or its subsidiary without Cause or a termination of the Participant’s employment by the Participant for Good Reason, or (ii) if a Participant has been designated to participate in the Plan at a Tier 3 participation level, a termination of the Participant’s employment by the Company or its subsidiary without Cause. A Qualifying Termination shall not include a termination of employment due to the Participant’s death or disability.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shall have the meaning set forth in Section ‎4.4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w:t>
      </w:r>
      <w:r>
        <w:rPr>
          <w:rFonts w:ascii="Times New Roman;Times;Serif" w:hAnsi="Times New Roman;Times;Serif"/>
          <w:b w:val="false"/>
          <w:i w:val="false"/>
          <w:caps w:val="false"/>
          <w:smallCaps w:val="false"/>
          <w:sz w:val="20"/>
          <w:u w:val="single"/>
        </w:rPr>
        <w:t>Salary Severance</w:t>
      </w:r>
      <w:r>
        <w:rPr>
          <w:rFonts w:ascii="Times New Roman;Times;Serif" w:hAnsi="Times New Roman;Times;Serif"/>
          <w:b w:val="false"/>
          <w:i w:val="false"/>
          <w:caps w:val="false"/>
          <w:smallCaps w:val="false"/>
          <w:sz w:val="20"/>
        </w:rPr>
        <w:t>” shall have the meaning set forth in Section ‎4.2(a)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val="false"/>
          <w:i w:val="false"/>
          <w:caps w:val="false"/>
          <w:smallCaps w:val="false"/>
          <w:sz w:val="20"/>
          <w:u w:val="single"/>
        </w:rPr>
        <w:t>Severance Benefits</w:t>
      </w:r>
      <w:r>
        <w:rPr>
          <w:rFonts w:ascii="Times New Roman;Times;Serif" w:hAnsi="Times New Roman;Times;Serif"/>
          <w:b w:val="false"/>
          <w:i w:val="false"/>
          <w:caps w:val="false"/>
          <w:smallCaps w:val="false"/>
          <w:sz w:val="20"/>
        </w:rPr>
        <w:t xml:space="preserve">” means the severance payments and benefits to which a Participant may become entitled pursuant to Section ‎4 of the Plan and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as applicable and each as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val="false"/>
          <w:i w:val="false"/>
          <w:caps w:val="false"/>
          <w:smallCaps w:val="false"/>
          <w:sz w:val="20"/>
          <w:u w:val="single"/>
        </w:rPr>
        <w:t>Target Bonus</w:t>
      </w:r>
      <w:r>
        <w:rPr>
          <w:rFonts w:ascii="Times New Roman;Times;Serif" w:hAnsi="Times New Roman;Times;Serif"/>
          <w:b w:val="false"/>
          <w:i w:val="false"/>
          <w:caps w:val="false"/>
          <w:smallCaps w:val="false"/>
          <w:sz w:val="20"/>
        </w:rPr>
        <w:t>” means the Participant’s target cash performance bonus, if any, for the annual bonus performance period in which the Date of Termination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val="false"/>
          <w:i w:val="false"/>
          <w:caps w:val="false"/>
          <w:smallCaps w:val="false"/>
          <w:sz w:val="20"/>
          <w:u w:val="single"/>
        </w:rPr>
        <w:t>Target Bonus Severance</w:t>
      </w:r>
      <w:r>
        <w:rPr>
          <w:rFonts w:ascii="Times New Roman;Times;Serif" w:hAnsi="Times New Roman;Times;Serif"/>
          <w:b w:val="false"/>
          <w:i w:val="false"/>
          <w:caps w:val="false"/>
          <w:smallCaps w:val="false"/>
          <w:sz w:val="20"/>
        </w:rPr>
        <w:t>” shall have the meaning set forth in Section ‎4.3(b)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val="false"/>
          <w:i w:val="false"/>
          <w:caps w:val="false"/>
          <w:smallCaps w:val="false"/>
          <w:sz w:val="20"/>
          <w:u w:val="single"/>
        </w:rPr>
        <w:t>Time-Vesting Award</w:t>
      </w:r>
      <w:r>
        <w:rPr>
          <w:rFonts w:ascii="Times New Roman;Times;Serif" w:hAnsi="Times New Roman;Times;Serif"/>
          <w:b w:val="false"/>
          <w:i w:val="false"/>
          <w:caps w:val="false"/>
          <w:smallCaps w:val="false"/>
          <w:sz w:val="20"/>
        </w:rPr>
        <w:t>” means each Equity Award that vests solely based on the passage of time (including an Equity Award for which the applicable performance goal(s) have been achieved as of the Date of Termination, such that the Equity Award remains subject only to time-based vesting as of the Date of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w:t>
      </w:r>
      <w:r>
        <w:rPr>
          <w:rFonts w:ascii="Times New Roman;Times;Serif" w:hAnsi="Times New Roman;Times;Serif"/>
          <w:b w:val="false"/>
          <w:i w:val="false"/>
          <w:caps w:val="false"/>
          <w:smallCaps w:val="false"/>
          <w:sz w:val="20"/>
          <w:u w:val="single"/>
        </w:rPr>
        <w:t>Total Payments</w:t>
      </w:r>
      <w:r>
        <w:rPr>
          <w:rFonts w:ascii="Times New Roman;Times;Serif" w:hAnsi="Times New Roman;Times;Serif"/>
          <w:b w:val="false"/>
          <w:i w:val="false"/>
          <w:caps w:val="false"/>
          <w:smallCaps w:val="false"/>
          <w:sz w:val="20"/>
        </w:rPr>
        <w:t>” shall have the meaning set forth in Section ‎7.1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Effectiveness of the Plan; Notification; Eligibility</w:t>
      </w:r>
      <w:r>
        <w:rPr>
          <w:rFonts w:ascii="Times New Roman;Times;Serif" w:hAnsi="Times New Roman;Times;Serif"/>
          <w:b w:val="false"/>
          <w:i w:val="false"/>
          <w:caps w:val="false"/>
          <w:smallCaps w:val="false"/>
          <w:sz w:val="20"/>
        </w:rPr>
        <w:t>. The Plan became effective on March 16,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The Company shall, pursuant to a written notice to any Employee (a “</w:t>
      </w:r>
      <w:r>
        <w:rPr>
          <w:rFonts w:ascii="Times New Roman;Times;Serif" w:hAnsi="Times New Roman;Times;Serif"/>
          <w:b w:val="false"/>
          <w:i w:val="false"/>
          <w:caps w:val="false"/>
          <w:smallCaps w:val="false"/>
          <w:sz w:val="20"/>
          <w:u w:val="single"/>
        </w:rPr>
        <w:t>Participation Notice</w:t>
      </w:r>
      <w:r>
        <w:rPr>
          <w:rFonts w:ascii="Times New Roman;Times;Serif" w:hAnsi="Times New Roman;Times;Serif"/>
          <w:b w:val="false"/>
          <w:i w:val="false"/>
          <w:caps w:val="false"/>
          <w:smallCaps w:val="false"/>
          <w:sz w:val="20"/>
        </w:rPr>
        <w:t>”), notify each Participant that such Participant has been selected to participate in the Plan and of such Participant’s participation Tier. If the Administrator selects Employees to participate based on their title with the Company, and if an Employee’s title changes such that such Employee’s title is not a title selected by the Administrator to be a Participant, then such Employee shall automatically cease being a Participant upon the effective date of such Employee’s title change (provided, that, such title change does not constitute an event giving rise to Good Reason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Administration</w:t>
      </w:r>
      <w:r>
        <w:rPr>
          <w:rFonts w:ascii="Times New Roman;Times;Serif" w:hAnsi="Times New Roman;Times;Serif"/>
          <w:b w:val="false"/>
          <w:i w:val="false"/>
          <w:caps w:val="false"/>
          <w:smallCaps w:val="false"/>
          <w:sz w:val="20"/>
        </w:rPr>
        <w:t>. The Plan shall be interpreted, administered and operated by the Administrator, which shall have complete authority, subject to the express provisions of the Plan, to interpret the Plan, to prescribe, amend and rescind rules and regulations relating to the Plan, and to make all other determinations necessary or advisable for the administration of the Plan. The Administrator may delegate any of its duties hereunder to a subcommittee, or to such person or persons from time to time as it may designate, and the Administrator may delegate its duty to provide a Participation Notice to a Participant in the Plan. All decisions, interpretations and other actions of the Administrator (including with respect to whether a Qualifying Termination or a CIC Termination has occurred) shall be final, conclusive and binding on all parties who have an interest in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Severance 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Each Employee who qualifies as a Participant and who experiences a Qualifying Termination or a CIC Termination is eligible to receive Severance Benefits under the Plan. Notwithstanding the generality of the foregoing, if a Participant experiences a Qualifying Termination prior to the first anniversary of his or her commencement of employment with the Company, such Participant shall not be entitled to the Severance Benefits set forth in Section 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Qualifying Termination Payment</w:t>
      </w:r>
      <w:r>
        <w:rPr>
          <w:rFonts w:ascii="Times New Roman;Times;Serif" w:hAnsi="Times New Roman;Times;Serif"/>
          <w:b w:val="false"/>
          <w:i w:val="false"/>
          <w:caps w:val="false"/>
          <w:smallCaps w:val="false"/>
          <w:sz w:val="20"/>
        </w:rPr>
        <w:t>. If a Participant experiences a Qualifying Termination, then the Company shall pay or provide to the Participant the following (in addition to the Accrued Obligations):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Salary Severance</w:t>
      </w:r>
      <w:r>
        <w:rPr>
          <w:rFonts w:ascii="Times New Roman;Times;Serif" w:hAnsi="Times New Roman;Times;Serif"/>
          <w:b w:val="false"/>
          <w:i w:val="false"/>
          <w:caps w:val="false"/>
          <w:smallCaps w:val="false"/>
          <w:sz w:val="20"/>
        </w:rPr>
        <w:t xml:space="preserve">. The Company shall pay to the Participant an amount equal to the Participant’s Base Salary that the Participant would have received had the Participant remained employed during the Salary Severance Period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(based on the Participant’s participation Tier) (the “</w:t>
      </w:r>
      <w:r>
        <w:rPr>
          <w:rFonts w:ascii="Times New Roman;Times;Serif" w:hAnsi="Times New Roman;Times;Serif"/>
          <w:b w:val="false"/>
          <w:i w:val="false"/>
          <w:caps w:val="false"/>
          <w:smallCaps w:val="false"/>
          <w:sz w:val="20"/>
          <w:u w:val="single"/>
        </w:rPr>
        <w:t>Salary Severance</w:t>
      </w:r>
      <w:r>
        <w:rPr>
          <w:rFonts w:ascii="Times New Roman;Times;Serif" w:hAnsi="Times New Roman;Times;Serif"/>
          <w:b w:val="false"/>
          <w:i w:val="false"/>
          <w:caps w:val="false"/>
          <w:smallCaps w:val="false"/>
          <w:sz w:val="20"/>
        </w:rPr>
        <w:t>”). The Salary Severance shall be paid in substantially equal installments during the Salary Severance Period, but commencing on the first payroll date following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Date of Termination (and amounts otherwise payable prior to such first payroll date shall be paid on such date without interest thereon).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Prior Year Bonus</w:t>
      </w:r>
      <w:r>
        <w:rPr>
          <w:rFonts w:ascii="Times New Roman;Times;Serif" w:hAnsi="Times New Roman;Times;Serif"/>
          <w:b w:val="false"/>
          <w:i w:val="false"/>
          <w:caps w:val="false"/>
          <w:smallCaps w:val="false"/>
          <w:sz w:val="20"/>
        </w:rPr>
        <w:t>. The Company shall pay to the Participant any unpaid Prior Year Bonus. The Prior Year Bonus shall be paid in a lump sum at such time when bonuses are paid to executives of the Company generally or, if later, on the first payroll date following the 60th day following the Date of Termination.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Pro-Rata Bonus</w:t>
      </w:r>
      <w:r>
        <w:rPr>
          <w:rFonts w:ascii="Times New Roman;Times;Serif" w:hAnsi="Times New Roman;Times;Serif"/>
          <w:b w:val="false"/>
          <w:i w:val="false"/>
          <w:caps w:val="false"/>
          <w:smallCaps w:val="false"/>
          <w:sz w:val="20"/>
        </w:rPr>
        <w:t>. The Company shall pay to the Participant an amount equal to the product of (i) the Participant’s annual cash performance bonus for the performance period in which the Date of Termination occurs, based on the achievement of applicable performance goals, and (ii) a fraction, the numerator of which is the number of days during the performance period that the Participant was employed through the Date of Termination and the denominator of which is the total number of days in the applicable performance period (the “</w:t>
      </w:r>
      <w:r>
        <w:rPr>
          <w:rFonts w:ascii="Times New Roman;Times;Serif" w:hAnsi="Times New Roman;Times;Serif"/>
          <w:b w:val="false"/>
          <w:i w:val="false"/>
          <w:caps w:val="false"/>
          <w:smallCaps w:val="false"/>
          <w:sz w:val="20"/>
          <w:u w:val="single"/>
        </w:rPr>
        <w:t>Pro-Rata Bonus</w:t>
      </w:r>
      <w:r>
        <w:rPr>
          <w:rFonts w:ascii="Times New Roman;Times;Serif" w:hAnsi="Times New Roman;Times;Serif"/>
          <w:b w:val="false"/>
          <w:i w:val="false"/>
          <w:caps w:val="false"/>
          <w:smallCaps w:val="false"/>
          <w:sz w:val="20"/>
        </w:rPr>
        <w:t>”). The Pro-Rata Bonus shall be paid in a lump sum at such time when bonuses are paid to executives of the Company generally or, if later, on the first payroll date following the 60th day following the Date of Termination.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xml:space="preserve">. Subject to the requirements of the Code, if the Participant is eligible for and properly elects healthcare continuation coverage under the Company’s group health plans pursuant to COBRA, then the Company shall subsidize the COBRA premiums for the Participant and the Participant’s covered dependents until the end of the COBRA Period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based on the Participant’s participation Tier) (the “</w:t>
      </w:r>
      <w:r>
        <w:rPr>
          <w:rFonts w:ascii="Times New Roman;Times;Serif" w:hAnsi="Times New Roman;Times;Serif"/>
          <w:b w:val="false"/>
          <w:i w:val="false"/>
          <w:caps w:val="false"/>
          <w:smallCaps w:val="false"/>
          <w:sz w:val="20"/>
          <w:u w:val="single"/>
        </w:rPr>
        <w:t>COBRA Premium Payment</w:t>
      </w:r>
      <w:r>
        <w:rPr>
          <w:rFonts w:ascii="Times New Roman;Times;Serif" w:hAnsi="Times New Roman;Times;Serif"/>
          <w:b w:val="false"/>
          <w:i w:val="false"/>
          <w:caps w:val="false"/>
          <w:smallCaps w:val="false"/>
          <w:sz w:val="20"/>
        </w:rPr>
        <w:t>”); provided, however, that the Company shall not pay COBRA premiums for any health flexible savings accounts or health reimbursement arrangements. Such payment shall be made by direct payment or, at the Company’s election, by reimbursement to the Participant, and shall equal an amount determined based on the same benefit levels and cost to the Participant as would have applied based on the Participant’s benefit elections in effect on the Date of Termination if the Participant’s employment had not been terminated.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COBRA Period (or the remaining portion thereof).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Equity Award Treatment</w:t>
      </w:r>
      <w:r>
        <w:rPr>
          <w:rFonts w:ascii="Times New Roman;Times;Serif" w:hAnsi="Times New Roman;Times;Serif"/>
          <w:b w:val="false"/>
          <w:i w:val="false"/>
          <w:caps w:val="false"/>
          <w:smallCaps w:val="false"/>
          <w:sz w:val="20"/>
        </w:rPr>
        <w:t>. A portion of each outstanding Time-Vesting Award held by the Participant shall become vested and, to the extent applicable, exercisable as to the number of shares subject to such Time-Vesting Award that would have vested during the 12-month period following the Date of Termination had the Participant’s employment not been terminated. The remaining portion of each outstanding Time-Vesting Award held by Participant shall immediately and automatically be cancelled and forfeited on the Date of Termination. In addition, each outstanding Performance-Vesting Award held by the Participant as of the Date of Termination shall be treated in accordance with the terms and conditions set forth in the applicable award agreement and equity plan pursuant to such Performance-Vesting Award was granted.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CIC Termination Payment</w:t>
      </w:r>
      <w:r>
        <w:rPr>
          <w:rFonts w:ascii="Times New Roman;Times;Serif" w:hAnsi="Times New Roman;Times;Serif"/>
          <w:b w:val="false"/>
          <w:i w:val="false"/>
          <w:caps w:val="false"/>
          <w:smallCaps w:val="false"/>
          <w:sz w:val="20"/>
        </w:rPr>
        <w:t>. If a Participant experiences a CIC Termination, then the Company shall pay or provide to the Participant the following (in addition to the Accrued Obligations):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Salary Severance</w:t>
      </w:r>
      <w:r>
        <w:rPr>
          <w:rFonts w:ascii="Times New Roman;Times;Serif" w:hAnsi="Times New Roman;Times;Serif"/>
          <w:b w:val="false"/>
          <w:i w:val="false"/>
          <w:caps w:val="false"/>
          <w:smallCaps w:val="false"/>
          <w:sz w:val="20"/>
        </w:rPr>
        <w:t xml:space="preserve">. The Company shall pay to the Participant the Salary Severance in a lump sum within 60 days following the Date of Termination; provided, however, the amount of the Salary Severance shall be determined based on the Salary Severance Period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(instead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Prior Year Bonus</w:t>
      </w:r>
      <w:r>
        <w:rPr>
          <w:rFonts w:ascii="Times New Roman;Times;Serif" w:hAnsi="Times New Roman;Times;Serif"/>
          <w:b w:val="false"/>
          <w:i w:val="false"/>
          <w:caps w:val="false"/>
          <w:smallCaps w:val="false"/>
          <w:sz w:val="20"/>
        </w:rPr>
        <w:t>. The Company shall pay to the Participant the Prior Year Bonus set forth in Section 4.2(b), if applicable, in a lump sum at such time when bonuses are paid to executives of the Company generally or, if later, on the first payroll date following the 60th day following the Date of Termination.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Target Bonus Severance</w:t>
      </w:r>
      <w:r>
        <w:rPr>
          <w:rFonts w:ascii="Times New Roman;Times;Serif" w:hAnsi="Times New Roman;Times;Serif"/>
          <w:b w:val="false"/>
          <w:i w:val="false"/>
          <w:caps w:val="false"/>
          <w:smallCaps w:val="false"/>
          <w:sz w:val="20"/>
        </w:rPr>
        <w:t xml:space="preserve">. The Company shall pay to the Participant an amount equal to the product of the Participant’s Target Bonus and the Target Bonus Multiplier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(based on the Participant’s participation Tier) (the “</w:t>
      </w:r>
      <w:r>
        <w:rPr>
          <w:rFonts w:ascii="Times New Roman;Times;Serif" w:hAnsi="Times New Roman;Times;Serif"/>
          <w:b w:val="false"/>
          <w:i w:val="false"/>
          <w:caps w:val="false"/>
          <w:smallCaps w:val="false"/>
          <w:sz w:val="20"/>
          <w:u w:val="single"/>
        </w:rPr>
        <w:t>Target Bonus Severance</w:t>
      </w:r>
      <w:r>
        <w:rPr>
          <w:rFonts w:ascii="Times New Roman;Times;Serif" w:hAnsi="Times New Roman;Times;Serif"/>
          <w:b w:val="false"/>
          <w:i w:val="false"/>
          <w:caps w:val="false"/>
          <w:smallCaps w:val="false"/>
          <w:sz w:val="20"/>
        </w:rPr>
        <w:t>”) in a lump sum within 60 days following the Date of Termination.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xml:space="preserve">. The Company shall provide to the Participant the COBRA Premium Payment set forth in Section ‎4.2(d) hereof; provided, however, that the COBRA Period shall be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(instead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Equity Award Treatment</w:t>
      </w:r>
      <w:r>
        <w:rPr>
          <w:rFonts w:ascii="Times New Roman;Times;Serif" w:hAnsi="Times New Roman;Times;Serif"/>
          <w:b w:val="false"/>
          <w:i w:val="false"/>
          <w:caps w:val="false"/>
          <w:smallCaps w:val="false"/>
          <w:sz w:val="20"/>
        </w:rPr>
        <w:t>. Each outstanding Time-Vesting Award held by the Participant shall become fully vested and, to the extent applicable, exercisable on the Date of Termination. In addition, unless otherwise provided in the applicable award agreement, each outstanding Performance-Vesting Award held by the Participant as of the Participant’s Date of Termination shall vest at “target” performance and, to the extent applicable, become exercisable, on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xml:space="preserve">. Notwithstanding anything herein to the contrary, no Participant shall be eligible or entitled to receive or retain any Severance Benefits under the Plan unless he or she executes a general release of claims substantially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and, to the extent such Release includes a post-signing revocation period (including if required by applicable law), does not revoke such Release in accordance with its terms, within the time period set forth in the Release.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Limitations</w:t>
      </w:r>
      <w:r>
        <w:rPr>
          <w:rFonts w:ascii="Times New Roman;Times;Serif" w:hAnsi="Times New Roman;Times;Serif"/>
          <w:b w:val="false"/>
          <w:i w:val="false"/>
          <w:caps w:val="false"/>
          <w:smallCaps w:val="false"/>
          <w:sz w:val="20"/>
        </w:rPr>
        <w:t>. Notwithstanding any provision of the Plan to the contrary, if a Participant’s status as an Employee is terminated for any reason other than due to a Qualifying Termination or a CIC Termination, the Participant shall not be entitled to receive any Severance Benefits under the Plan, and the Company shall not have any obligation to such Participant under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Section 409A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To the extent applicable, the Plan shall be interpreted and applied consistent with and in accordance with Code Section 409A and Department of Treasury regulations and other interpretive guidance issued thereunder. Notwithstanding any provision of the Plan to the contrary, to the extent that the Administrator determines that any payments or benefits under the Plan may not be either compliant with or exempt from Code Section 409A and related Department of Treasury guidance, the Administrator may in its sole discretion adopt such amendments to the Plan or take such other actions that the Administrator determines are necessary or appropriate to (a) exempt the compensation and benefits payable under the Plan from Code Section 409A and/or preserve the intended tax treatment of such compensation and benefits, or (b) comply with the requirements of Code Section 409A and related Department of Treasury guidance;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Section ‎6.1 shall not create any obligation on the part of the Administrator to adopt any such amendment or take any other action, nor shall the Company have any liability for failing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Potential Six-Month Delay</w:t>
      </w:r>
      <w:r>
        <w:rPr>
          <w:rFonts w:ascii="Times New Roman;Times;Serif" w:hAnsi="Times New Roman;Times;Serif"/>
          <w:b w:val="false"/>
          <w:i w:val="false"/>
          <w:caps w:val="false"/>
          <w:smallCaps w:val="false"/>
          <w:sz w:val="20"/>
        </w:rPr>
        <w:t>. Notwithstanding anything to the contrary in the Plan, no amounts shall be paid to any Participant under the Plan during the six-month period following such Participant’s “separation from service” (within the meaning of Code Section 409A(a)(2)(A)(i) and Treasury Regulation Section 1.409A-1(h)) to the extent that the Administrator determines that paying such amounts at the time or times indicated in the Plan would result in a prohibited distribution under Code Section 409A(a)(2)(B)(i). If the payment of any such amounts is delayed as a result of the previous sentence, then on the first business day following the end of such six-month period (or such earlier date upon which such amount can be paid under Code Section 409A without resulting in a prohibited distribution, including as a result of the Participant’s death), the Participant shall receive payment of a lump-sum amount equal to the cumulative amount that would have otherwise been payable to the Participant during such six-month period without interest thereon.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Separation from Service</w:t>
      </w:r>
      <w:r>
        <w:rPr>
          <w:rFonts w:ascii="Times New Roman;Times;Serif" w:hAnsi="Times New Roman;Times;Serif"/>
          <w:b w:val="false"/>
          <w:i w:val="false"/>
          <w:caps w:val="false"/>
          <w:smallCaps w:val="false"/>
          <w:sz w:val="20"/>
        </w:rPr>
        <w:t>. A termination of employment shall not be deemed to have occurred for purposes of any provision of the Plan providing for the payment of any amounts or benefits that constitute “nonqualified deferred compensation” under Code Section 409A upon or following a termination of employment unless such termination is also a “separation from service” within the meaning of Code Section 409A and, for purposes of any such provision of the Plan, references to a “termination,” “termination of employment” or like terms shall mean “separation from service.”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Reimbursements</w:t>
      </w:r>
      <w:r>
        <w:rPr>
          <w:rFonts w:ascii="Times New Roman;Times;Serif" w:hAnsi="Times New Roman;Times;Serif"/>
          <w:b w:val="false"/>
          <w:i w:val="false"/>
          <w:caps w:val="false"/>
          <w:smallCaps w:val="false"/>
          <w:sz w:val="20"/>
        </w:rPr>
        <w:t>. To the extent that any payments or reimbursements provided to a Participant under the Plan are deemed to constitute compensation to the Participant to which Treasury Regulation Section 1.409A-3(i)(1)(iv) would apply, such amounts shall be paid or reimbursed reasonably promptly, but not later than December 31st of the year following the year in which the expense was incurred. The amount of any such payments eligible for reimbursement in one year shall not affect the payments or expenses that are eligible for payment or reimbursement in any other taxable year, and the Participant’s right to such payments or reimbursement of any such expenses shall not be subject to liquidation or exchange for any other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Installments</w:t>
      </w:r>
      <w:r>
        <w:rPr>
          <w:rFonts w:ascii="Times New Roman;Times;Serif" w:hAnsi="Times New Roman;Times;Serif"/>
          <w:b w:val="false"/>
          <w:i w:val="false"/>
          <w:caps w:val="false"/>
          <w:smallCaps w:val="false"/>
          <w:sz w:val="20"/>
        </w:rPr>
        <w:t>. For purposes of applying the provisions of Code Section 409A to the Plan, each separately identified amount to which a Participant is entitled under the Plan shall be treated as a separate payment. In addition, to the extent permissible under Code Section 409A, the right to receive any installment payments under the Plan shall be treated as a right to receive a series of separate payments and, accordingly, each such installment payment shall at all times be considered a separate and distinct payment as permitted under Treasury Regulation Section 1.409A-2(b)(2)(iii). Whenever a payment under the Plan specifies a payment period with reference to a number of days, the actual date of payment within the specified period shall be within the sole discretion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Limitation on Payments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Best Pay Cap</w:t>
      </w:r>
      <w:r>
        <w:rPr>
          <w:rFonts w:ascii="Times New Roman;Times;Serif" w:hAnsi="Times New Roman;Times;Serif"/>
          <w:b w:val="false"/>
          <w:i w:val="false"/>
          <w:caps w:val="false"/>
          <w:smallCaps w:val="false"/>
          <w:sz w:val="20"/>
        </w:rPr>
        <w:t>. Notwithstanding any other provision of the Plan, in the event that any payment or benefit received or to be received by a Participant (including any payment or benefit received in connection with a termination of the Participant’s employment, whether pursuant to the terms of the Plan or any other plan, arrangement or agreement) (all such payments and benefits, including the Severance Benefits, being hereinafter referred to as the “</w:t>
      </w:r>
      <w:r>
        <w:rPr>
          <w:rFonts w:ascii="Times New Roman;Times;Serif" w:hAnsi="Times New Roman;Times;Serif"/>
          <w:b w:val="false"/>
          <w:i w:val="false"/>
          <w:caps w:val="false"/>
          <w:smallCaps w:val="false"/>
          <w:sz w:val="20"/>
          <w:u w:val="single"/>
        </w:rPr>
        <w:t>Total Payments</w:t>
      </w:r>
      <w:r>
        <w:rPr>
          <w:rFonts w:ascii="Times New Roman;Times;Serif" w:hAnsi="Times New Roman;Times;Serif"/>
          <w:b w:val="false"/>
          <w:i w:val="false"/>
          <w:caps w:val="false"/>
          <w:smallCaps w:val="false"/>
          <w:sz w:val="20"/>
        </w:rPr>
        <w:t>”) would be subject (in whole or part), to the excise tax imposed under Code Section 4999 (the “</w:t>
      </w:r>
      <w:r>
        <w:rPr>
          <w:rFonts w:ascii="Times New Roman;Times;Serif" w:hAnsi="Times New Roman;Times;Serif"/>
          <w:b w:val="false"/>
          <w:i w:val="false"/>
          <w:caps w:val="false"/>
          <w:smallCaps w:val="false"/>
          <w:sz w:val="20"/>
          <w:u w:val="single"/>
        </w:rPr>
        <w:t>Excise Tax</w:t>
      </w:r>
      <w:r>
        <w:rPr>
          <w:rFonts w:ascii="Times New Roman;Times;Serif" w:hAnsi="Times New Roman;Times;Serif"/>
          <w:b w:val="false"/>
          <w:i w:val="false"/>
          <w:caps w:val="false"/>
          <w:smallCaps w:val="false"/>
          <w:sz w:val="20"/>
        </w:rPr>
        <w:t>”), then, after taking into account any reduction in the Total Payments provided by reason of Code Section 280G in such other plan, arrangement or agreement, the cash severance payments under the Plan shall first be reduced, and any noncash severance payments shall thereafter be reduced, to the extent necessary so that no portion of the Total Payments is subject to the Excise Tax but only if (a)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 Excise Tax to which the Participant would be subject in respect of such unreduced Total Payments and after taking into account the phase out of itemized deductions and personal exemptions attributable to such unreduced Total Payments).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Certain Exclusions</w:t>
      </w:r>
      <w:r>
        <w:rPr>
          <w:rFonts w:ascii="Times New Roman;Times;Serif" w:hAnsi="Times New Roman;Times;Serif"/>
          <w:b w:val="false"/>
          <w:i w:val="false"/>
          <w:caps w:val="false"/>
          <w:smallCaps w:val="false"/>
          <w:sz w:val="20"/>
        </w:rPr>
        <w:t>. For purposes of determining whether and the extent to which the Total Payments will be subject to the Excise Tax, (a) no portion of the Total Payments, the receipt or retention of which the Participant has waived at such time and in such manner so as not to constitute a “payment” within the meaning of Code Section 280G(b), will be taken into account; (b) no portion of the Total Payments will be taken into account which, in the written opinion of an independent, nationally recognized accounting firm (the “</w:t>
      </w:r>
      <w:r>
        <w:rPr>
          <w:rFonts w:ascii="Times New Roman;Times;Serif" w:hAnsi="Times New Roman;Times;Serif"/>
          <w:b w:val="false"/>
          <w:i w:val="false"/>
          <w:caps w:val="false"/>
          <w:smallCaps w:val="false"/>
          <w:sz w:val="20"/>
          <w:u w:val="single"/>
        </w:rPr>
        <w:t>Independent Advisors</w:t>
      </w:r>
      <w:r>
        <w:rPr>
          <w:rFonts w:ascii="Times New Roman;Times;Serif" w:hAnsi="Times New Roman;Times;Serif"/>
          <w:b w:val="false"/>
          <w:i w:val="false"/>
          <w:caps w:val="false"/>
          <w:smallCaps w:val="false"/>
          <w:sz w:val="20"/>
        </w:rPr>
        <w:t>”) selected by the Company, does not constitute a “parachute payment” within the meaning of Code Section 280G(b)(2) (including by reason of Code Section 280G(b)(4)(A)) and, in calculating the Excise Tax, no portion of such Total Payments will be taken into account which, in the opinion of Independent Advisors, constitutes reasonable compensation for services actually rendered, within the meaning of Code Section 280G(b)(4)(B), in excess of the “base amount” (as defined in Code Section 280G(b)(3)) allocable to such reasonable compensation; and (c) the value of any non-cash benefit or any deferred payment or benefit included in the Total Payments shall be determined by the Independent Advisors in accordance with the principles of Code Sections 280G(d)(3) and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No Mitigation</w:t>
      </w:r>
      <w:r>
        <w:rPr>
          <w:rFonts w:ascii="Times New Roman;Times;Serif" w:hAnsi="Times New Roman;Times;Serif"/>
          <w:b w:val="false"/>
          <w:i w:val="false"/>
          <w:caps w:val="false"/>
          <w:smallCaps w:val="false"/>
          <w:sz w:val="20"/>
        </w:rPr>
        <w:t>. No Participant shall be required to seek other employment or attempt in any way to reduce or mitigate any Severance Benefits payable under the Plan and the amount of any such Severance Benefits shall not be reduced by any other compensation paid or provided to any Participant following such Participant’s 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Successors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Company Successors</w:t>
      </w:r>
      <w:r>
        <w:rPr>
          <w:rFonts w:ascii="Times New Roman;Times;Serif" w:hAnsi="Times New Roman;Times;Serif"/>
          <w:b w:val="false"/>
          <w:i w:val="false"/>
          <w:caps w:val="false"/>
          <w:smallCaps w:val="false"/>
          <w:sz w:val="20"/>
        </w:rPr>
        <w:t>. The Plan shall inure to the benefit of and shall be binding upon the Company and its successors and assigns. Any successor (whether direct or indirect and whether by purchase, lease, merger, consolidation, liquidation or otherwise) to all or substantially all of the Company’s business and/or assets shall assume and agree to perform the obligations of the Company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Participant Successors</w:t>
      </w:r>
      <w:r>
        <w:rPr>
          <w:rFonts w:ascii="Times New Roman;Times;Serif" w:hAnsi="Times New Roman;Times;Serif"/>
          <w:b w:val="false"/>
          <w:i w:val="false"/>
          <w:caps w:val="false"/>
          <w:smallCaps w:val="false"/>
          <w:sz w:val="20"/>
        </w:rPr>
        <w:t>. The Plan shall inure to the benefit of and be enforceable by each Participant’s personal or legal representatives, executors, administrators, successors, heirs, distributees, devisees, legatees or other beneficiaries. If a Participant dies while any amount remains payable to such Participant hereunder, all such amounts shall be paid in accordance with the terms of the Plan to the executors, personal representatives or administrators of such Participant’s estate.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All communications relating to matters arising under the Plan shall be in writing and shall be deemed to have been duly given when hand delivered, faxed, emailed or mailed by reputable overnight carrier or United States certified mail, return receipt requested, addressed, if to a Participant, to the address or email address on file with the Company or to such other address or email address as the Participant may have furnished to the other in writing in accordance herewith and, if to the Company, to such address or email address as may be specified from time to time by the Administrator, except that notice of change of address shall be effective only upon actual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Claims Procedure; Arbitration</w:t>
      </w:r>
      <w:r>
        <w:rPr>
          <w:rFonts w:ascii="Times New Roman;Times;Serif" w:hAnsi="Times New Roman;Times;Serif"/>
          <w:b w:val="false"/>
          <w:i w:val="false"/>
          <w:caps w:val="false"/>
          <w:smallCaps w:val="false"/>
          <w:sz w:val="20"/>
        </w:rPr>
        <w:t xml:space="preserve">. The Administrator has adopted procedures for considering claims (which are set forth in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hereto), which it may amend or modify from time to time, as it sees fit. These procedures shall comply with all applicable legal requirements. These procedures may provide that final and binding arbitration shall be the ultimate means of contesting a denied claim (even if the Administrator or its delegates have failed to follow the prescribed procedures with respect to the claim). The right to receive benefits under the Plan is contingent on a Claimant using the prescribed claims and appeal procedures to resolve any claim.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Covenants.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Restrictive Covenants</w:t>
      </w:r>
      <w:r>
        <w:rPr>
          <w:rFonts w:ascii="Times New Roman;Times;Serif" w:hAnsi="Times New Roman;Times;Serif"/>
          <w:b w:val="false"/>
          <w:i w:val="false"/>
          <w:caps w:val="false"/>
          <w:smallCaps w:val="false"/>
          <w:sz w:val="20"/>
        </w:rPr>
        <w:t>. A Participant’s right to receive and/or retain the Severance Benefits payable under this Plan is conditioned upon and subject to the Participant’s continued compliance with any restrictive covenants (e.g., confidentiality, invention assignment, non-solicitation, non-disparagement) contained in any other written agreement between the Participant and the Company or any of its subsidiaries or affiliates, as in effect on the date of the Participant’s Qualifying Termination or CIC Termination.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val="false"/>
          <w:i w:val="false"/>
          <w:caps w:val="false"/>
          <w:smallCaps w:val="false"/>
          <w:sz w:val="20"/>
          <w:u w:val="single"/>
        </w:rPr>
        <w:t>Return of Property</w:t>
      </w:r>
      <w:r>
        <w:rPr>
          <w:rFonts w:ascii="Times New Roman;Times;Serif" w:hAnsi="Times New Roman;Times;Serif"/>
          <w:b w:val="false"/>
          <w:i w:val="false"/>
          <w:caps w:val="false"/>
          <w:smallCaps w:val="false"/>
          <w:sz w:val="20"/>
        </w:rPr>
        <w:t>. A Participant’s right to receive and/or retain the Severance Benefits payable under the Plan is conditioned upon the Participant’s return to the Company of all Company documents (and all copies thereof) and other Company property (in each case, whether physical, electronic or otherwise) in the Participant’s possession or control.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val="false"/>
          <w:i w:val="false"/>
          <w:caps w:val="false"/>
          <w:smallCaps w:val="false"/>
          <w:sz w:val="20"/>
          <w:u w:val="single"/>
        </w:rPr>
        <w:t>Ongoing Cooperation</w:t>
      </w:r>
      <w:r>
        <w:rPr>
          <w:rFonts w:ascii="Times New Roman;Times;Serif" w:hAnsi="Times New Roman;Times;Serif"/>
          <w:b w:val="false"/>
          <w:i w:val="false"/>
          <w:caps w:val="false"/>
          <w:smallCaps w:val="false"/>
          <w:sz w:val="20"/>
        </w:rPr>
        <w:t>. Following Participant’s termination of employment for any reason and continuing for a period of five years following the Date of Termination, Participant agrees to cooperate in good faith with the Company and use Participant’s best efforts in responding to all reasonable requests by the Company for assistance and advice relating to matters and procedures in which Participant was involved or which Participant managed or was responsible for while Participant was employed by the Company (or any subsidiary thereof). Participant agrees to reasonably cooperate with and make himself or herself available to the Company and its representatives and legal advisors in connection with any matters in which Participant is or was involved or any existing or future claims, investigations, administrative proceedings, lawsuits and other legal matters, as reasonably requested by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Miscellaneous.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val="false"/>
          <w:i w:val="false"/>
          <w:caps w:val="false"/>
          <w:smallCaps w:val="false"/>
          <w:sz w:val="20"/>
          <w:u w:val="single"/>
        </w:rPr>
        <w:t>Entire Plan; Relation to Other Agreements</w:t>
      </w:r>
      <w:r>
        <w:rPr>
          <w:rFonts w:ascii="Times New Roman;Times;Serif" w:hAnsi="Times New Roman;Times;Serif"/>
          <w:b w:val="false"/>
          <w:i w:val="false"/>
          <w:caps w:val="false"/>
          <w:smallCaps w:val="false"/>
          <w:sz w:val="20"/>
        </w:rPr>
        <w:t>. The Plan, together with any Participation Notice issued in connection with the Plan and, if applicable, any award agreements evidencing Performance-Vesting Awards, contains the entire understanding of the parties relating to the subject matter hereof and supersedes any prior agreement, arrangement and understanding between any Participant, on the one hand, and the Company and/or any subsidiary, on the other hand, with respect to the subject matter hereof. Severance Benefits payable under the Plan are not intended to duplicate any other cash and/or healthcare severance benefits payable to a Participant by the Company (for the avoidance of doubt, sign-on bonus payments, retention bonus payments, transaction bonus payments and other similar cash payments shall not constitute “other cash severance” for purposes of this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val="false"/>
          <w:i w:val="false"/>
          <w:caps w:val="false"/>
          <w:smallCaps w:val="false"/>
          <w:sz w:val="20"/>
          <w:u w:val="single"/>
        </w:rPr>
        <w:t>No Right to Continued Service</w:t>
      </w:r>
      <w:r>
        <w:rPr>
          <w:rFonts w:ascii="Times New Roman;Times;Serif" w:hAnsi="Times New Roman;Times;Serif"/>
          <w:b w:val="false"/>
          <w:i w:val="false"/>
          <w:caps w:val="false"/>
          <w:smallCaps w:val="false"/>
          <w:sz w:val="20"/>
        </w:rPr>
        <w:t>. Nothing contained in the Plan shall (a) confer upon any Participant any right to continue as an employee of the Company or any subsidiary, (b) constitute any contract of employment or agreement to continue employment for any particular period, or (c) interfere in any way with the right of the Company to terminate a service relationship with any Participant, with or without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val="false"/>
          <w:i w:val="false"/>
          <w:caps w:val="false"/>
          <w:smallCaps w:val="false"/>
          <w:sz w:val="20"/>
          <w:u w:val="single"/>
        </w:rPr>
        <w:t>Termination and Amendment of Plan</w:t>
      </w:r>
      <w:r>
        <w:rPr>
          <w:rFonts w:ascii="Times New Roman;Times;Serif" w:hAnsi="Times New Roman;Times;Serif"/>
          <w:b w:val="false"/>
          <w:i w:val="false"/>
          <w:caps w:val="false"/>
          <w:smallCaps w:val="false"/>
          <w:sz w:val="20"/>
        </w:rPr>
        <w:t>. The Plan may not be amended, modified, suspended or terminated except with the express written consent of each Participant who would be adversely affected by any such amendment, modification, suspension or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Section ‎7 (Limitation on Payments), Section ‎11 (Claims Procedure; Arbitration) and Section ‎12 (Covenants) hereof shall survive the termination or expiration of the Plan and shall continue in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w:t>
      </w:r>
      <w:r>
        <w:rPr>
          <w:rFonts w:ascii="Times New Roman;Times;Serif" w:hAnsi="Times New Roman;Times;Serif"/>
          <w:b w:val="false"/>
          <w:i w:val="false"/>
          <w:caps w:val="false"/>
          <w:smallCaps w:val="false"/>
          <w:sz w:val="20"/>
          <w:u w:val="single"/>
        </w:rPr>
        <w:t>Severance Benefit Obligations</w:t>
      </w:r>
      <w:r>
        <w:rPr>
          <w:rFonts w:ascii="Times New Roman;Times;Serif" w:hAnsi="Times New Roman;Times;Serif"/>
          <w:b w:val="false"/>
          <w:i w:val="false"/>
          <w:caps w:val="false"/>
          <w:smallCaps w:val="false"/>
          <w:sz w:val="20"/>
        </w:rPr>
        <w:t>. Notwithstanding anything contained herein, Severance Benefits paid or provided under the Plan may be paid or provided by the Company or any subsidiary employer, as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The Company and its subsidiaries shall have the authority and the right to deduct and withhold an amount sufficient to satisfy federal, state, local and foreign taxes required by law to be withheld with respect to any Severance Benefits payable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13.7 </w:t>
      </w:r>
      <w:r>
        <w:rPr>
          <w:rFonts w:ascii="Times New Roman;Times;Serif" w:hAnsi="Times New Roman;Times;Serif"/>
          <w:b w:val="false"/>
          <w:i w:val="false"/>
          <w:caps w:val="false"/>
          <w:smallCaps w:val="false"/>
          <w:sz w:val="20"/>
          <w:u w:val="single"/>
        </w:rPr>
        <w:t>Benefits Not Assignable</w:t>
      </w:r>
      <w:r>
        <w:rPr>
          <w:rFonts w:ascii="Times New Roman;Times;Serif" w:hAnsi="Times New Roman;Times;Serif"/>
          <w:b w:val="false"/>
          <w:i w:val="false"/>
          <w:caps w:val="false"/>
          <w:smallCaps w:val="false"/>
          <w:sz w:val="20"/>
        </w:rPr>
        <w:t>.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the Plan shall be liable for, or subject to, any obligation or liability of such Participant. When a payment is due under the Plan to a Participant who is unable to care for his or her affairs, payment may be made directly to his or her legal guardian or personal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The Plan is intended to be an unfunded “top hat” pension plan within the meaning of U.S. Department of Labor Regulation Section 2520.104-23 and shall be interpreted, administered, and enforced as such in accordance with ERISA. To the extent that state law is applicable, the statutes and common law of the State of Delaware, excluding any that mandate the use of another jurisdiction’s laws, will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13.9 </w:t>
      </w:r>
      <w:r>
        <w:rPr>
          <w:rFonts w:ascii="Times New Roman;Times;Serif" w:hAnsi="Times New Roman;Times;Serif"/>
          <w:b w:val="false"/>
          <w:i w:val="false"/>
          <w:caps w:val="false"/>
          <w:smallCaps w:val="false"/>
          <w:sz w:val="20"/>
          <w:u w:val="single"/>
        </w:rPr>
        <w:t>Validity</w:t>
      </w:r>
      <w:r>
        <w:rPr>
          <w:rFonts w:ascii="Times New Roman;Times;Serif" w:hAnsi="Times New Roman;Times;Serif"/>
          <w:b w:val="false"/>
          <w:i w:val="false"/>
          <w:caps w:val="false"/>
          <w:smallCaps w:val="false"/>
          <w:sz w:val="20"/>
        </w:rPr>
        <w:t>. The invalidity or unenforceability of any provision of the Plan shall not affect the validity or enforceability of any other provision of the Plan, which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13.10 </w:t>
      </w:r>
      <w:r>
        <w:rPr>
          <w:rFonts w:ascii="Times New Roman;Times;Serif" w:hAnsi="Times New Roman;Times;Serif"/>
          <w:b w:val="false"/>
          <w:i w:val="false"/>
          <w:caps w:val="false"/>
          <w:smallCaps w:val="false"/>
          <w:sz w:val="20"/>
          <w:u w:val="single"/>
        </w:rPr>
        <w:t>Captions</w:t>
      </w:r>
      <w:r>
        <w:rPr>
          <w:rFonts w:ascii="Times New Roman;Times;Serif" w:hAnsi="Times New Roman;Times;Serif"/>
          <w:b w:val="false"/>
          <w:i w:val="false"/>
          <w:caps w:val="false"/>
          <w:smallCaps w:val="false"/>
          <w:sz w:val="20"/>
        </w:rPr>
        <w:t>. The captions contained in the Plan are for convenience only and shall have no bearing on the meaning, construction or interpretation of the Plan’s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expenses of administering the Plan shall be borne by the Company or its successor,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13.12 </w:t>
      </w:r>
      <w:r>
        <w:rPr>
          <w:rFonts w:ascii="Times New Roman;Times;Serif" w:hAnsi="Times New Roman;Times;Serif"/>
          <w:b w:val="false"/>
          <w:i w:val="false"/>
          <w:caps w:val="false"/>
          <w:smallCaps w:val="false"/>
          <w:sz w:val="20"/>
          <w:u w:val="single"/>
        </w:rPr>
        <w:t>Unfunded Plan</w:t>
      </w:r>
      <w:r>
        <w:rPr>
          <w:rFonts w:ascii="Times New Roman;Times;Serif" w:hAnsi="Times New Roman;Times;Serif"/>
          <w:b w:val="false"/>
          <w:i w:val="false"/>
          <w:caps w:val="false"/>
          <w:smallCaps w:val="false"/>
          <w:sz w:val="20"/>
        </w:rPr>
        <w:t>. The Plan shall be maintained in a manner to be considered “unfunded” for purposes of ERISA. The Company shall be required to make payments only as benefits become due and payable. No person shall have any right, other than the right of an unsecured general creditor against the Company, with respect to the benefits payable hereunder, or which may be payable hereunder, to any Participant, surviving spouse or beneficiary hereunder. If the Company, acting in its sole discretion, establishes a reserve or other fund associated with the Plan, no person shall have any right to or interest in any specific amount or asset of such reserve or fund by reason of amounts which may be payable to such person under the Plan, nor shall such person have any right to receive any payment under the Plan except as and to the extent expressly provided in the Plan. The assets in any such reserve or fund shall be part of the general assets of the Company, subject to the control of the Company.</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certify that the foregoing Plan was duly adopted by the Board of Directors of Merlin, Inc. on March 16, 2026.</w:t>
      </w:r>
    </w:p>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980"/>
        <w:gridCol w:w="3080"/>
      </w:tblGrid>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Signature:</w:t>
            </w:r>
          </w:p>
        </w:tc>
        <w:tc>
          <w:tcPr>
            <w:tcW w:w="3080" w:type="dxa"/>
            <w:tcBorders>
              <w:bottom w:val="single" w:sz="12" w:space="0" w:color="000000"/>
            </w:tcBorders>
            <w:tcMar>
              <w:bottom w:w="28" w:type="dxa"/>
            </w:tcMar>
            <w:vAlign w:val="center"/>
          </w:tcPr>
          <w:p>
            <w:pPr>
              <w:pStyle w:val="TableContents"/>
              <w:bidi w:val="0"/>
              <w:spacing w:before="0" w:after="283"/>
              <w:jc w:val="left"/>
              <w:rPr/>
            </w:pPr>
            <w:r>
              <w:rPr/>
              <w:t>/s/ Leslie R. Ravestein</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Name:</w:t>
            </w:r>
          </w:p>
        </w:tc>
        <w:tc>
          <w:tcPr>
            <w:tcW w:w="3080" w:type="dxa"/>
            <w:tcBorders/>
            <w:vAlign w:val="center"/>
          </w:tcPr>
          <w:p>
            <w:pPr>
              <w:pStyle w:val="TableContents"/>
              <w:bidi w:val="0"/>
              <w:spacing w:before="0" w:after="283"/>
              <w:jc w:val="left"/>
              <w:rPr/>
            </w:pPr>
            <w:r>
              <w:rPr/>
              <w:t>Leslie R. Ravestein</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Title:</w:t>
            </w:r>
          </w:p>
        </w:tc>
        <w:tc>
          <w:tcPr>
            <w:tcW w:w="3080" w:type="dxa"/>
            <w:tcBorders/>
            <w:vAlign w:val="center"/>
          </w:tcPr>
          <w:p>
            <w:pPr>
              <w:pStyle w:val="TableContents"/>
              <w:bidi w:val="0"/>
              <w:spacing w:before="0" w:after="283"/>
              <w:jc w:val="left"/>
              <w:rPr/>
            </w:pPr>
            <w:r>
              <w:rPr/>
              <w:t>Chief Legal Officer &amp;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68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440" w:right="0" w:hanging="720"/>
        <w:jc w:val="right"/>
        <w:rPr>
          <w:caps/>
        </w:rPr>
      </w:pPr>
      <w:r>
        <w:rPr>
          <w:caps/>
        </w:rPr>
        <w:t> </w:t>
      </w:r>
    </w:p>
    <w:p>
      <w:pPr>
        <w:pStyle w:val="TextBody"/>
        <w:bidi w:val="0"/>
        <w:spacing w:before="0" w:after="0"/>
        <w:ind w:left="1440" w:right="0" w:hanging="720"/>
        <w:jc w:val="right"/>
        <w:rPr>
          <w:rFonts w:ascii="Times New Roman;Times;Serif" w:hAnsi="Times New Roman;Times;Serif"/>
          <w:b/>
          <w:i/>
          <w:caps/>
          <w:sz w:val="20"/>
        </w:rPr>
      </w:pPr>
      <w:r>
        <w:rPr>
          <w:rFonts w:ascii="Times New Roman;Times;Serif" w:hAnsi="Times New Roman;Times;Serif"/>
          <w:b/>
          <w:i/>
          <w:caps/>
          <w:sz w:val="20"/>
        </w:rPr>
        <w:t>Exhibit A</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Calculation of QUALIFYING TERMINATION Severance Amounts</w:t>
      </w:r>
    </w:p>
    <w:p>
      <w:pPr>
        <w:pStyle w:val="TextBody"/>
        <w:bidi w:val="0"/>
        <w:spacing w:before="0" w:after="0"/>
        <w:ind w:left="0" w:right="0" w:hanging="0"/>
        <w:jc w:val="center"/>
        <w:rPr>
          <w:caps/>
        </w:rPr>
      </w:pPr>
      <w:r>
        <w:rPr>
          <w:caps/>
        </w:rPr>
        <w:t> </w:t>
      </w:r>
    </w:p>
    <w:tbl>
      <w:tblPr>
        <w:tblW w:w="5625" w:type="dxa"/>
        <w:jc w:val="left"/>
        <w:tblInd w:w="-10" w:type="dxa"/>
        <w:tblLayout w:type="fixed"/>
        <w:tblCellMar>
          <w:top w:w="28" w:type="dxa"/>
          <w:left w:w="108" w:type="dxa"/>
          <w:bottom w:w="28" w:type="dxa"/>
          <w:right w:w="108" w:type="dxa"/>
        </w:tblCellMar>
      </w:tblPr>
      <w:tblGrid>
        <w:gridCol w:w="1460"/>
        <w:gridCol w:w="2510"/>
        <w:gridCol w:w="1655"/>
      </w:tblGrid>
      <w:tr>
        <w:trPr/>
        <w:tc>
          <w:tcPr>
            <w:tcW w:w="1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Tier</w:t>
            </w:r>
          </w:p>
        </w:tc>
        <w:tc>
          <w:tcPr>
            <w:tcW w:w="25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Salary Severance Period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COBRA Period</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Tier 1</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 months</w:t>
            </w:r>
          </w:p>
        </w:tc>
        <w:tc>
          <w:tcPr>
            <w:tcW w:w="16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 months</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Tier 2</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 months</w:t>
            </w:r>
          </w:p>
        </w:tc>
        <w:tc>
          <w:tcPr>
            <w:tcW w:w="16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 months</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Tier 3</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 months</w:t>
            </w:r>
          </w:p>
        </w:tc>
        <w:tc>
          <w:tcPr>
            <w:tcW w:w="16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 months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Exh. A-1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Calculation of CIC TERMINATION Severance Amounts</w:t>
      </w:r>
    </w:p>
    <w:p>
      <w:pPr>
        <w:pStyle w:val="TextBody"/>
        <w:bidi w:val="0"/>
        <w:spacing w:before="0" w:after="0"/>
        <w:ind w:left="0" w:right="0" w:hanging="0"/>
        <w:jc w:val="center"/>
        <w:rPr>
          <w:caps w:val="false"/>
          <w:smallCaps w:val="false"/>
        </w:rPr>
      </w:pPr>
      <w:r>
        <w:rPr>
          <w:caps w:val="false"/>
          <w:smallCaps w:val="false"/>
        </w:rPr>
        <w:t> </w:t>
      </w:r>
    </w:p>
    <w:tbl>
      <w:tblPr>
        <w:tblW w:w="4910" w:type="dxa"/>
        <w:jc w:val="left"/>
        <w:tblInd w:w="-10" w:type="dxa"/>
        <w:tblLayout w:type="fixed"/>
        <w:tblCellMar>
          <w:top w:w="28" w:type="dxa"/>
          <w:left w:w="108" w:type="dxa"/>
          <w:bottom w:w="28" w:type="dxa"/>
          <w:right w:w="108" w:type="dxa"/>
        </w:tblCellMar>
      </w:tblPr>
      <w:tblGrid>
        <w:gridCol w:w="1160"/>
        <w:gridCol w:w="1505"/>
        <w:gridCol w:w="1010"/>
        <w:gridCol w:w="1235"/>
      </w:tblGrid>
      <w:tr>
        <w:trPr/>
        <w:tc>
          <w:tcPr>
            <w:tcW w:w="11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Tier</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Salary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 Period</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COBRA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1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Target Bonus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Multiplier</w:t>
            </w:r>
          </w:p>
        </w:tc>
      </w:tr>
      <w:tr>
        <w:trPr/>
        <w:tc>
          <w:tcPr>
            <w:tcW w:w="11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Tier 1</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24 months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24 months</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w:t>
            </w:r>
          </w:p>
        </w:tc>
      </w:tr>
      <w:tr>
        <w:trPr/>
        <w:tc>
          <w:tcPr>
            <w:tcW w:w="11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Tier 2</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 months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 months</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w:t>
            </w:r>
          </w:p>
        </w:tc>
      </w:tr>
      <w:tr>
        <w:trPr/>
        <w:tc>
          <w:tcPr>
            <w:tcW w:w="11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Tier 3</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 months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 months</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Exh. B-1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For valuable consideration, including the payments or benefits under Section 4 of the Merlin, Inc. Executive Severance Plan (the “</w:t>
      </w:r>
      <w:r>
        <w:rPr>
          <w:rFonts w:ascii="Times New Roman;Times;Serif" w:hAnsi="Times New Roman;Times;Serif"/>
          <w:b/>
          <w:i/>
          <w:caps w:val="false"/>
          <w:smallCaps w:val="false"/>
          <w:sz w:val="20"/>
        </w:rPr>
        <w:t>Severance Plan</w:t>
      </w:r>
      <w:r>
        <w:rPr>
          <w:rFonts w:ascii="Times New Roman;Times;Serif" w:hAnsi="Times New Roman;Times;Serif"/>
          <w:b w:val="false"/>
          <w:i w:val="false"/>
          <w:caps w:val="false"/>
          <w:smallCaps w:val="false"/>
          <w:sz w:val="20"/>
        </w:rPr>
        <w:t>”), the receipt and adequacy of which are hereby acknowledged, the undersigned does hereby release and forever discharge the “</w:t>
      </w:r>
      <w:r>
        <w:rPr>
          <w:rFonts w:ascii="Times New Roman;Times;Serif" w:hAnsi="Times New Roman;Times;Serif"/>
          <w:b/>
          <w:i/>
          <w:caps w:val="false"/>
          <w:smallCaps w:val="false"/>
          <w:sz w:val="20"/>
        </w:rPr>
        <w:t>Releasees</w:t>
      </w:r>
      <w:r>
        <w:rPr>
          <w:rFonts w:ascii="Times New Roman;Times;Serif" w:hAnsi="Times New Roman;Times;Serif"/>
          <w:b w:val="false"/>
          <w:i w:val="false"/>
          <w:caps w:val="false"/>
          <w:smallCaps w:val="false"/>
          <w:sz w:val="20"/>
        </w:rPr>
        <w:t>” hereunder, consisting of Merlin,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the Company’s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Times New Roman;Times;Serif" w:hAnsi="Times New Roman;Times;Serif"/>
          <w:b/>
          <w:i/>
          <w:caps w:val="false"/>
          <w:smallCaps w:val="false"/>
          <w:sz w:val="20"/>
        </w:rPr>
        <w:t>Claims</w:t>
      </w:r>
      <w:r>
        <w:rPr>
          <w:rFonts w:ascii="Times New Roman;Times;Serif" w:hAnsi="Times New Roman;Times;Serif"/>
          <w:b w:val="false"/>
          <w:i w:val="false"/>
          <w:caps w:val="false"/>
          <w:smallCaps w:val="false"/>
          <w:sz w:val="20"/>
        </w:rPr>
        <w:t>”), which the undersigned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employment or termination of employment of the undersigned by the Releasees, or any of them; any alleged breach of any express or implied contract of employment; any alleged torts or other alleged legal restrictions on Releasees’ right to terminate the employment of the undersigned; any alleged violation of any federal, state or local statute or ordinance including, without limitation, Title VII of the Civil Rights Act of 1964, the Age Discrimination In Employment Act, the Americans With Disabilities Act.</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Claims Not Released</w:t>
      </w:r>
      <w:r>
        <w:rPr>
          <w:rFonts w:ascii="Times New Roman;Times;Serif" w:hAnsi="Times New Roman;Times;Serif"/>
          <w:b w:val="false"/>
          <w:i w:val="false"/>
          <w:caps w:val="false"/>
          <w:smallCaps w:val="false"/>
          <w:sz w:val="20"/>
        </w:rPr>
        <w:t>. Notwithstanding the foregoing, this general release (the “</w:t>
      </w:r>
      <w:r>
        <w:rPr>
          <w:rFonts w:ascii="Times New Roman;Times;Serif" w:hAnsi="Times New Roman;Times;Serif"/>
          <w:b/>
          <w:i/>
          <w:caps w:val="false"/>
          <w:smallCaps w:val="false"/>
          <w:sz w:val="20"/>
        </w:rPr>
        <w:t>Release</w:t>
      </w:r>
      <w:r>
        <w:rPr>
          <w:rFonts w:ascii="Times New Roman;Times;Serif" w:hAnsi="Times New Roman;Times;Serif"/>
          <w:b w:val="false"/>
          <w:i w:val="false"/>
          <w:caps w:val="false"/>
          <w:smallCaps w:val="false"/>
          <w:sz w:val="20"/>
        </w:rPr>
        <w:t>”) shall not operate to release any rights or claims of the undersigned (i) to payments or benefits under Section 4 of the Severance Plan, with respect to the payments and benefits provided in exchange for this Release, [(ii) to payments or benefits under any equity award agreement between the undersigned and the Company,]</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(iii) to accrued or vested benefits the undersigned may have, if any, as of the date hereof under any applicable plan, policy, practice, program, contract or agreement with the Company, (iv) to any Claims, including claims for indemnification and/or advancement of expenses arising under any indemnification agreement between the undersigned and the Company or under the bylaws, certificate of incorporation or other similar governing document of the Company, (v) to any Claims which cannot be waived by an employee under applicable law or (vi) with respect to the undersigned’s right to communicate directly with, cooperate with, or provide information to, any federal, state or local government regulator.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Unknown Claims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UNDERSIGNED HAS BEEN ADVISED BY LEGAL COUNSEL AND IS FAMILIAR WITH THE PROVISIONS OF CALIFORNIA CIVIL CODE SECTION 1542, WHICH PROVIDES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8403" w:type="dxa"/>
        <w:jc w:val="left"/>
        <w:tblInd w:w="0" w:type="dxa"/>
        <w:tblLayout w:type="fixed"/>
        <w:tblCellMar>
          <w:top w:w="0" w:type="dxa"/>
          <w:left w:w="0" w:type="dxa"/>
          <w:bottom w:w="0" w:type="dxa"/>
          <w:right w:w="0" w:type="dxa"/>
        </w:tblCellMar>
      </w:tblPr>
      <w:tblGrid>
        <w:gridCol w:w="38"/>
        <w:gridCol w:w="125"/>
        <w:gridCol w:w="82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8240" w:type="dxa"/>
            <w:tcBorders/>
            <w:vAlign w:val="center"/>
          </w:tcPr>
          <w:p>
            <w:pPr>
              <w:pStyle w:val="TableContents"/>
              <w:bidi w:val="0"/>
              <w:spacing w:before="0" w:after="283"/>
              <w:jc w:val="both"/>
              <w:rPr>
                <w:sz w:val="20"/>
              </w:rPr>
            </w:pPr>
            <w:r>
              <w:rPr>
                <w:sz w:val="20"/>
              </w:rPr>
              <w:t>NTD: To be updated to reflect additional claims based on employee’s state of employment as needed.</w:t>
            </w:r>
          </w:p>
        </w:tc>
      </w:tr>
    </w:tbl>
    <w:tbl>
      <w:tblPr>
        <w:tblW w:w="3738" w:type="dxa"/>
        <w:jc w:val="left"/>
        <w:tblInd w:w="0" w:type="dxa"/>
        <w:tblLayout w:type="fixed"/>
        <w:tblCellMar>
          <w:top w:w="0" w:type="dxa"/>
          <w:left w:w="0" w:type="dxa"/>
          <w:bottom w:w="0" w:type="dxa"/>
          <w:right w:w="0" w:type="dxa"/>
        </w:tblCellMar>
      </w:tblPr>
      <w:tblGrid>
        <w:gridCol w:w="38"/>
        <w:gridCol w:w="125"/>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3575" w:type="dxa"/>
            <w:tcBorders/>
            <w:vAlign w:val="center"/>
          </w:tcPr>
          <w:p>
            <w:pPr>
              <w:pStyle w:val="TableContents"/>
              <w:bidi w:val="0"/>
              <w:spacing w:before="0" w:after="283"/>
              <w:jc w:val="both"/>
              <w:rPr>
                <w:sz w:val="20"/>
              </w:rPr>
            </w:pPr>
            <w:r>
              <w:rPr>
                <w:sz w:val="20"/>
              </w:rPr>
              <w:t>NTD: Inclusion to be tailored to individual.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Exh. C-1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BEING AWARE OF SAID CODE SECTION, HEREBY EXPRESSLY WAIVES ANY RIGHTS THE UNDERSIGNED MAY HAVE THEREUNDER, AS WELL AS UNDER ANY OTHER STATUTES OR COMMON LAW PRINCIPLES OF SIMILAR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 Notwithstanding anything in this Release to the contrary, nothing contained in this Release shall prohibit the undersigned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(ii) communicating directly with, cooperating with, or providing information (including trade secrets) in confidence to, any federal, state or local government regulator (including, but not limited to, the U.S. Securities and Exchange Commission, the U.S. Commodity Futures Trading Commission, the U.S. Department of Justice or the National Labor Relations Board (the “</w:t>
      </w:r>
      <w:r>
        <w:rPr>
          <w:rFonts w:ascii="Times New Roman;Times;Serif" w:hAnsi="Times New Roman;Times;Serif"/>
          <w:b/>
          <w:i/>
          <w:caps w:val="false"/>
          <w:smallCaps w:val="false"/>
          <w:sz w:val="20"/>
        </w:rPr>
        <w:t>NLRB</w:t>
      </w:r>
      <w:r>
        <w:rPr>
          <w:rFonts w:ascii="Times New Roman;Times;Serif" w:hAnsi="Times New Roman;Times;Serif"/>
          <w:b w:val="false"/>
          <w:i w:val="false"/>
          <w:caps w:val="false"/>
          <w:smallCaps w:val="false"/>
          <w:sz w:val="20"/>
        </w:rPr>
        <w:t>”)) for the purpose of reporting or investigating a suspected violation of law, or from providing such information to the undersigned’s attorney or in a sealed complaint or other document filed in a lawsuit or other governmental proceeding. Pursuant to 18 USC Section 1833(b), the undersigned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Nothing in this Release prevents the undersigned from participating in an activity permitted by Section 7 of the National Labor Relations Act or from filing an unfair labor practice charge with the NLRB, or from discussing or disclosing information about unlawful acts in the workplace, such as harassment or discrimination or any other conduct that the undersigned has reason to believe is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The undersigned represents and warrants that there has been no assignment or other transfer of any interest in any Claim which the undersigned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 Action</w:t>
      </w:r>
      <w:r>
        <w:rPr>
          <w:rFonts w:ascii="Times New Roman;Times;Serif" w:hAnsi="Times New Roman;Times;Serif"/>
          <w:b w:val="false"/>
          <w:i w:val="false"/>
          <w:caps w:val="false"/>
          <w:smallCaps w:val="false"/>
          <w:sz w:val="20"/>
        </w:rPr>
        <w:t>. The undersigned agrees that if the undersigned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 Notwithstanding the foregoing, this provision shall not apply to any suit or Claim to the extent it challenges the effectiveness of this Release with respect to a claim under the Age Discrimination in Employment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 Admission</w:t>
      </w:r>
      <w:r>
        <w:rPr>
          <w:rFonts w:ascii="Times New Roman;Times;Serif" w:hAnsi="Times New Roman;Times;Serif"/>
          <w:b w:val="false"/>
          <w:i w:val="false"/>
          <w:caps w:val="false"/>
          <w:smallCaps w:val="false"/>
          <w:sz w:val="20"/>
        </w:rPr>
        <w:t>. The undersigned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undersigned.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Exh. C-2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[OWBPA</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The undersigned agrees and acknowledges that this Release constitutes a knowing and voluntary waiver and release of all Claims the undersigned has or may have against the Company and/or any of the Releasees as set forth herein, including, but not limited to, all Claims arising under the Older Worker’s Benefit Protection Act and the Age Discrimination in Employment Act. In accordance with the Older Worker’s Benefit Protection Act, the undersigned is hereby advised as follows:</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283"/>
              <w:jc w:val="both"/>
              <w:rPr/>
            </w:pPr>
            <w:r>
              <w:rPr/>
              <w:t>the undersigned has read the terms of this Release, and understands its terms and effects, including the fact that the undersigned agreed to release and forever discharge the Company and each of the Releasees, from any Claims released in this Release;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(ii)</w:t>
            </w:r>
          </w:p>
        </w:tc>
        <w:tc>
          <w:tcPr>
            <w:tcW w:w="9931" w:type="dxa"/>
            <w:tcBorders/>
            <w:vAlign w:val="center"/>
          </w:tcPr>
          <w:p>
            <w:pPr>
              <w:pStyle w:val="TableContents"/>
              <w:bidi w:val="0"/>
              <w:spacing w:before="0" w:after="283"/>
              <w:jc w:val="both"/>
              <w:rPr/>
            </w:pPr>
            <w:r>
              <w:rPr/>
              <w:t>the undersigned understands that, by entering into this Release, the undersigned does not waive any Claims that may arise after the date of the undersigned’s execution of this Release, including without limitation any rights or claims that the undersigned may have to secure enforcement of the terms and conditions of this Release;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(iii)</w:t>
            </w:r>
          </w:p>
        </w:tc>
        <w:tc>
          <w:tcPr>
            <w:tcW w:w="9872" w:type="dxa"/>
            <w:tcBorders/>
            <w:vAlign w:val="center"/>
          </w:tcPr>
          <w:p>
            <w:pPr>
              <w:pStyle w:val="TableContents"/>
              <w:bidi w:val="0"/>
              <w:spacing w:before="0" w:after="283"/>
              <w:jc w:val="both"/>
              <w:rPr/>
            </w:pPr>
            <w:r>
              <w:rPr/>
              <w:t>the undersigned has signed this Release voluntarily and knowingly in exchange for the consideration described in this Release, which the undersigned acknowledges is adequate and satisfactory to the undersigned and which the undersigned acknowledges is in addition to any other benefits to which the undersigned is otherwise entitled;</w:t>
            </w:r>
          </w:p>
        </w:tc>
      </w:tr>
    </w:tbl>
    <w:p>
      <w:pPr>
        <w:pStyle w:val="TextBody"/>
        <w:bidi w:val="0"/>
        <w:spacing w:before="0" w:after="0"/>
        <w:ind w:left="1440" w:right="0" w:hanging="360"/>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35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9155" w:type="dxa"/>
            <w:tcBorders/>
            <w:vAlign w:val="center"/>
          </w:tcPr>
          <w:p>
            <w:pPr>
              <w:pStyle w:val="TableContents"/>
              <w:bidi w:val="0"/>
              <w:spacing w:before="0" w:after="283"/>
              <w:jc w:val="both"/>
              <w:rPr/>
            </w:pPr>
            <w:r>
              <w:rPr/>
              <w:t>the Company advises the undersigned to consult with an attorney prior to executing this Release;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(v)</w:t>
            </w:r>
          </w:p>
        </w:tc>
        <w:tc>
          <w:tcPr>
            <w:tcW w:w="9937" w:type="dxa"/>
            <w:tcBorders/>
            <w:vAlign w:val="center"/>
          </w:tcPr>
          <w:p>
            <w:pPr>
              <w:pStyle w:val="TableContents"/>
              <w:bidi w:val="0"/>
              <w:spacing w:before="0" w:after="283"/>
              <w:jc w:val="both"/>
              <w:rPr/>
            </w:pPr>
            <w:r>
              <w:rPr/>
              <w:t>the undersigned has been given at least [21 / 45] days in which to review and consider this Release. To the extent that the undersigned chooses to sign this Release prior to the expiration of such period, the undersigned acknowledges that the undersigned has done so voluntarily, had sufficient time to consider the Release, to consult with counsel and that the undersigned does not desire additional time and hereby waives the remainder of the [21 / 45]-day period;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(vi)</w:t>
            </w:r>
          </w:p>
        </w:tc>
        <w:tc>
          <w:tcPr>
            <w:tcW w:w="9875" w:type="dxa"/>
            <w:tcBorders/>
            <w:vAlign w:val="center"/>
          </w:tcPr>
          <w:p>
            <w:pPr>
              <w:pStyle w:val="TableContents"/>
              <w:bidi w:val="0"/>
              <w:spacing w:before="0" w:after="283"/>
              <w:jc w:val="both"/>
              <w:rPr/>
            </w:pPr>
            <w:r>
              <w:rPr/>
              <w:t xml:space="preserve">[the undersigned understands that </w:t>
            </w:r>
            <w:r>
              <w:rPr>
                <w:u w:val="single"/>
              </w:rPr>
              <w:t>Attachment 1</w:t>
            </w:r>
            <w:r>
              <w:rPr/>
              <w:t xml:space="preserve"> to this Release is a list of the job titles and ages for all individuals in the undersigned’s decisional unit who have been selected for the program, as well as the job titles and ages of all individuals in the undersigned’s decisional unit who have not been selected for the program, as of [</w:t>
            </w:r>
            <w:r>
              <w:rPr>
                <w:u w:val="single"/>
              </w:rPr>
              <w:t>_____</w:t>
            </w:r>
            <w:r>
              <w:rPr/>
              <w:t>], the date the Company provided this Release to the undersigned;]</w:t>
            </w:r>
            <w:r>
              <w:rPr>
                <w:position w:val="8"/>
                <w:sz w:val="19"/>
              </w:rPr>
              <w:t>4</w:t>
            </w:r>
            <w:r>
              <w:rPr/>
              <w:t xml:space="preserve"> and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(vii)</w:t>
            </w:r>
          </w:p>
        </w:tc>
        <w:tc>
          <w:tcPr>
            <w:tcW w:w="9824" w:type="dxa"/>
            <w:tcBorders/>
            <w:vAlign w:val="center"/>
          </w:tcPr>
          <w:p>
            <w:pPr>
              <w:pStyle w:val="TableContents"/>
              <w:bidi w:val="0"/>
              <w:spacing w:before="0" w:after="283"/>
              <w:jc w:val="both"/>
              <w:rPr/>
            </w:pPr>
            <w:r>
              <w:rPr/>
              <w:t>the undersigned may revoke this Release within seven days from the date the undersigned signs this Release and this Release will become effective upon the expiration of that revocation period if the undersigned has not revoked this Release during such seven-day period. If the undersigned revokes this Release during such seven-day period, this Release will be null and void and of no force or effect on either the Company or the undersigned and the undersigned will not be entitled to any of the payments or benefits which are expressly conditioned upon the execution and non-revocation of this Release. Any revocation must be in writing and sent to [</w:t>
            </w:r>
            <w:r>
              <w:rPr>
                <w:i/>
              </w:rPr>
              <w:t>name</w:t>
            </w:r>
            <w:r>
              <w:rPr/>
              <w:t>], via electronic mail at [</w:t>
            </w:r>
            <w:r>
              <w:rPr>
                <w:i/>
              </w:rPr>
              <w:t>email address</w:t>
            </w:r>
            <w:r>
              <w:rPr/>
              <w:t>], on or before [11:59 p.m. Mountain time] on the seventh day after this Release is executed by the undersigned.]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10042" w:type="dxa"/>
            <w:tcBorders/>
            <w:vAlign w:val="center"/>
          </w:tcPr>
          <w:p>
            <w:pPr>
              <w:pStyle w:val="TableContents"/>
              <w:bidi w:val="0"/>
              <w:spacing w:before="0" w:after="283"/>
              <w:jc w:val="both"/>
              <w:rPr>
                <w:sz w:val="20"/>
              </w:rPr>
            </w:pPr>
            <w:r>
              <w:rPr>
                <w:sz w:val="20"/>
              </w:rPr>
              <w:t>NTD: Use for employees 40 years of age or older. The consideration period will be 21 days for a non-group termination and 45 days for a group termination.</w:t>
            </w:r>
          </w:p>
        </w:tc>
      </w:tr>
    </w:tbl>
    <w:tbl>
      <w:tblPr>
        <w:tblW w:w="3753" w:type="dxa"/>
        <w:jc w:val="left"/>
        <w:tblInd w:w="0" w:type="dxa"/>
        <w:tblLayout w:type="fixed"/>
        <w:tblCellMar>
          <w:top w:w="0" w:type="dxa"/>
          <w:left w:w="0" w:type="dxa"/>
          <w:bottom w:w="0" w:type="dxa"/>
          <w:right w:w="0" w:type="dxa"/>
        </w:tblCellMar>
      </w:tblPr>
      <w:tblGrid>
        <w:gridCol w:w="38"/>
        <w:gridCol w:w="125"/>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4</w:t>
            </w:r>
          </w:p>
        </w:tc>
        <w:tc>
          <w:tcPr>
            <w:tcW w:w="3590" w:type="dxa"/>
            <w:tcBorders/>
            <w:vAlign w:val="center"/>
          </w:tcPr>
          <w:p>
            <w:pPr>
              <w:pStyle w:val="TableContents"/>
              <w:bidi w:val="0"/>
              <w:spacing w:before="0" w:after="283"/>
              <w:jc w:val="both"/>
              <w:rPr>
                <w:sz w:val="20"/>
              </w:rPr>
            </w:pPr>
            <w:r>
              <w:rPr>
                <w:sz w:val="20"/>
              </w:rPr>
              <w:t>NTD: To be included for group termination.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Exh. C-3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Certain Rights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The undersigned is hereby advised as follows:</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283"/>
              <w:jc w:val="both"/>
              <w:rPr/>
            </w:pPr>
            <w:r>
              <w:rPr/>
              <w:t>the undersigned has read the terms of this Release, and understands its terms and effects, including the fact that the undersigned agreed to release and forever discharge the Company and each of the Releasees, from any Claims released in this Release;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(ii)</w:t>
            </w:r>
          </w:p>
        </w:tc>
        <w:tc>
          <w:tcPr>
            <w:tcW w:w="9931" w:type="dxa"/>
            <w:tcBorders/>
            <w:vAlign w:val="center"/>
          </w:tcPr>
          <w:p>
            <w:pPr>
              <w:pStyle w:val="TableContents"/>
              <w:bidi w:val="0"/>
              <w:spacing w:before="0" w:after="283"/>
              <w:jc w:val="both"/>
              <w:rPr/>
            </w:pPr>
            <w:r>
              <w:rPr/>
              <w:t>the undersigned understands that, by entering into this Release, the undersigned does not waive any Claims that may arise after the date of the undersigned’s execution of this Release, including without limitation any rights or claims that the undersigned may have to secure enforcement of the terms and conditions of this Release;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(iii)</w:t>
            </w:r>
          </w:p>
        </w:tc>
        <w:tc>
          <w:tcPr>
            <w:tcW w:w="9872" w:type="dxa"/>
            <w:tcBorders/>
            <w:vAlign w:val="center"/>
          </w:tcPr>
          <w:p>
            <w:pPr>
              <w:pStyle w:val="TableContents"/>
              <w:bidi w:val="0"/>
              <w:spacing w:before="0" w:after="283"/>
              <w:jc w:val="both"/>
              <w:rPr/>
            </w:pPr>
            <w:r>
              <w:rPr/>
              <w:t>the undersigned has signed this Release voluntarily and knowingly in exchange for the consideration described in this Release, which the undersigned acknowledges is adequate and satisfactory to the undersigned and which the undersigned acknowledges is in addition to any other benefits to which the undersigned is otherwise entitled;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0"/>
        <w:gridCol w:w="9837"/>
      </w:tblGrid>
      <w:tr>
        <w:trPr/>
        <w:tc>
          <w:tcPr>
            <w:tcW w:w="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(iv)</w:t>
            </w:r>
          </w:p>
        </w:tc>
        <w:tc>
          <w:tcPr>
            <w:tcW w:w="9837" w:type="dxa"/>
            <w:tcBorders/>
            <w:vAlign w:val="center"/>
          </w:tcPr>
          <w:p>
            <w:pPr>
              <w:pStyle w:val="TableContents"/>
              <w:bidi w:val="0"/>
              <w:spacing w:before="0" w:after="283"/>
              <w:jc w:val="both"/>
              <w:rPr/>
            </w:pPr>
            <w:r>
              <w:rPr/>
              <w:t>the undersigned has a right to, and the Company advises the undersigned to, consult with an attorney prior to executing this Release; and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(v)</w:t>
            </w:r>
          </w:p>
        </w:tc>
        <w:tc>
          <w:tcPr>
            <w:tcW w:w="9938" w:type="dxa"/>
            <w:tcBorders/>
            <w:vAlign w:val="center"/>
          </w:tcPr>
          <w:p>
            <w:pPr>
              <w:pStyle w:val="TableContents"/>
              <w:bidi w:val="0"/>
              <w:spacing w:before="0" w:after="283"/>
              <w:jc w:val="both"/>
              <w:rPr/>
            </w:pPr>
            <w:r>
              <w:rPr/>
              <w:t>[the undersigned has been given at least five business days in which to review and consider this Release.]</w:t>
            </w:r>
            <w:r>
              <w:rPr>
                <w:position w:val="8"/>
                <w:sz w:val="19"/>
              </w:rPr>
              <w:t>6</w:t>
            </w:r>
            <w:r>
              <w:rPr/>
              <w:t xml:space="preserve"> To the extent that the undersigned chooses to sign this Release [prior to the expiration of such period], the undersigned acknowledges that the undersigned has done so voluntarily, had sufficient time to consider the Release, to consult with counsel and that the undersigned does not desire additional time to review and consider this Release [and hereby waives the remainder of the period].]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Release is deemed made and entered into in the State of [____],</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and in all respects shall be interpreted, enforced and governed under the internal laws of the State of [____], to the extent not preempted by federal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Release this ____ day of ___________, ____.</w:t>
      </w:r>
    </w:p>
    <w:p>
      <w:pPr>
        <w:pStyle w:val="TextBody"/>
        <w:bidi w:val="0"/>
        <w:spacing w:before="0" w:after="0"/>
        <w:ind w:left="0" w:right="0" w:firstLine="1440"/>
        <w:jc w:val="both"/>
        <w:rPr>
          <w:caps w:val="false"/>
          <w:smallCaps w:val="false"/>
        </w:rPr>
      </w:pPr>
      <w:r>
        <w:rPr>
          <w:caps w:val="false"/>
          <w:smallCaps w:val="false"/>
        </w:rPr>
        <w:t> </w:t>
      </w:r>
    </w:p>
    <w:tbl>
      <w:tblPr>
        <w:tblW w:w="1100" w:type="dxa"/>
        <w:jc w:val="left"/>
        <w:tblInd w:w="0" w:type="dxa"/>
        <w:tblLayout w:type="fixed"/>
        <w:tblCellMar>
          <w:top w:w="0" w:type="dxa"/>
          <w:left w:w="0" w:type="dxa"/>
          <w:bottom w:w="0" w:type="dxa"/>
          <w:right w:w="0" w:type="dxa"/>
        </w:tblCellMar>
      </w:tblPr>
      <w:tblGrid>
        <w:gridCol w:w="75"/>
        <w:gridCol w:w="890"/>
        <w:gridCol w:w="60"/>
        <w:gridCol w:w="75"/>
      </w:tblGrid>
      <w:tr>
        <w:trPr/>
        <w:tc>
          <w:tcPr>
            <w:tcW w:w="75" w:type="dxa"/>
            <w:tcBorders/>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[______]</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57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3603" w:type="dxa"/>
        <w:jc w:val="left"/>
        <w:tblInd w:w="0" w:type="dxa"/>
        <w:tblLayout w:type="fixed"/>
        <w:tblCellMar>
          <w:top w:w="0" w:type="dxa"/>
          <w:left w:w="0" w:type="dxa"/>
          <w:bottom w:w="0" w:type="dxa"/>
          <w:right w:w="0" w:type="dxa"/>
        </w:tblCellMar>
      </w:tblPr>
      <w:tblGrid>
        <w:gridCol w:w="38"/>
        <w:gridCol w:w="125"/>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5</w:t>
            </w:r>
          </w:p>
        </w:tc>
        <w:tc>
          <w:tcPr>
            <w:tcW w:w="3440" w:type="dxa"/>
            <w:tcBorders/>
            <w:vAlign w:val="center"/>
          </w:tcPr>
          <w:p>
            <w:pPr>
              <w:pStyle w:val="TableContents"/>
              <w:bidi w:val="0"/>
              <w:spacing w:before="0" w:after="283"/>
              <w:jc w:val="both"/>
              <w:rPr>
                <w:sz w:val="20"/>
              </w:rPr>
            </w:pPr>
            <w:r>
              <w:rPr>
                <w:sz w:val="20"/>
              </w:rPr>
              <w:t>NTD: Use for employees younger than 40.</w:t>
            </w:r>
          </w:p>
        </w:tc>
      </w:tr>
    </w:tbl>
    <w:tbl>
      <w:tblPr>
        <w:tblW w:w="6588" w:type="dxa"/>
        <w:jc w:val="left"/>
        <w:tblInd w:w="0" w:type="dxa"/>
        <w:tblLayout w:type="fixed"/>
        <w:tblCellMar>
          <w:top w:w="0" w:type="dxa"/>
          <w:left w:w="0" w:type="dxa"/>
          <w:bottom w:w="0" w:type="dxa"/>
          <w:right w:w="0" w:type="dxa"/>
        </w:tblCellMar>
      </w:tblPr>
      <w:tblGrid>
        <w:gridCol w:w="38"/>
        <w:gridCol w:w="125"/>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6</w:t>
            </w:r>
          </w:p>
        </w:tc>
        <w:tc>
          <w:tcPr>
            <w:tcW w:w="6425" w:type="dxa"/>
            <w:tcBorders/>
            <w:vAlign w:val="center"/>
          </w:tcPr>
          <w:p>
            <w:pPr>
              <w:pStyle w:val="TableContents"/>
              <w:bidi w:val="0"/>
              <w:spacing w:before="0" w:after="283"/>
              <w:jc w:val="both"/>
              <w:rPr>
                <w:sz w:val="20"/>
              </w:rPr>
            </w:pPr>
            <w:r>
              <w:rPr>
                <w:sz w:val="20"/>
              </w:rPr>
              <w:t>NTD: Bracketed text in this section to be included for employees in California.</w:t>
            </w:r>
          </w:p>
        </w:tc>
      </w:tr>
    </w:tbl>
    <w:tbl>
      <w:tblPr>
        <w:tblW w:w="4173" w:type="dxa"/>
        <w:jc w:val="left"/>
        <w:tblInd w:w="0" w:type="dxa"/>
        <w:tblLayout w:type="fixed"/>
        <w:tblCellMar>
          <w:top w:w="0" w:type="dxa"/>
          <w:left w:w="0" w:type="dxa"/>
          <w:bottom w:w="0" w:type="dxa"/>
          <w:right w:w="0" w:type="dxa"/>
        </w:tblCellMar>
      </w:tblPr>
      <w:tblGrid>
        <w:gridCol w:w="38"/>
        <w:gridCol w:w="125"/>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7</w:t>
            </w:r>
          </w:p>
        </w:tc>
        <w:tc>
          <w:tcPr>
            <w:tcW w:w="4010" w:type="dxa"/>
            <w:tcBorders/>
            <w:vAlign w:val="center"/>
          </w:tcPr>
          <w:p>
            <w:pPr>
              <w:pStyle w:val="TableContents"/>
              <w:bidi w:val="0"/>
              <w:spacing w:before="0" w:after="283"/>
              <w:jc w:val="both"/>
              <w:rPr>
                <w:sz w:val="20"/>
              </w:rPr>
            </w:pPr>
            <w:r>
              <w:rPr>
                <w:sz w:val="20"/>
              </w:rPr>
              <w:t>NTD: To be the employee’s state of employment.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Exh. C-4</w:t>
      </w:r>
    </w:p>
    <w:p>
      <w:pPr>
        <w:pStyle w:val="TextBody"/>
        <w:bidi w:val="0"/>
        <w:spacing w:before="0" w:after="0"/>
        <w:ind w:left="0" w:right="0" w:hanging="0"/>
        <w:jc w:val="left"/>
        <w:rPr/>
      </w:pPr>
      <w:r>
        <w:rPr/>
        <w:t> </w:t>
      </w:r>
    </w:p>
    <w:p>
      <w:pPr>
        <w:pStyle w:val="TextBody"/>
        <w:bidi w:val="0"/>
        <w:spacing w:before="0" w:after="0"/>
        <w:ind w:left="720" w:right="0" w:hanging="0"/>
        <w:jc w:val="right"/>
        <w:rPr>
          <w:caps/>
        </w:rPr>
      </w:pPr>
      <w:r>
        <w:rPr>
          <w:caps/>
        </w:rPr>
        <w:t> </w:t>
      </w:r>
    </w:p>
    <w:p>
      <w:pPr>
        <w:pStyle w:val="TextBody"/>
        <w:bidi w:val="0"/>
        <w:spacing w:before="0" w:after="0"/>
        <w:ind w:left="720" w:right="0" w:hanging="0"/>
        <w:jc w:val="right"/>
        <w:rPr>
          <w:rFonts w:ascii="Times New Roman;Times;Serif" w:hAnsi="Times New Roman;Times;Serif"/>
          <w:b/>
          <w:i/>
          <w:caps/>
          <w:sz w:val="20"/>
        </w:rPr>
      </w:pPr>
      <w:r>
        <w:rPr>
          <w:rFonts w:ascii="Times New Roman;Times;Serif" w:hAnsi="Times New Roman;Times;Serif"/>
          <w:b/>
          <w:i/>
          <w:caps/>
          <w:sz w:val="20"/>
        </w:rPr>
        <w:t>EXHIBIT D</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Detailed Claims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Claim Procedure</w:t>
      </w:r>
      <w:r>
        <w:rPr>
          <w:rFonts w:ascii="Times New Roman;Times;Serif" w:hAnsi="Times New Roman;Times;Serif"/>
          <w:b w:val="false"/>
          <w:i w:val="false"/>
          <w:caps w:val="false"/>
          <w:smallCaps w:val="false"/>
          <w:sz w:val="20"/>
        </w:rPr>
        <w:t>. Claims for benefits under the Plan shall be administered in accordance with Section 503 of ERISA and the Department of Labor Regulations and guidance thereunder. The Administrator shall have the right to delegate its duties under this Exhibit and all references to the Administrator shall be a reference to any such delegate, as well. The Administrator shall make all determinations as to the rights of any Claimant. A Claimant may authorize a representative to act on his or her behalf with respect to any claim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Generally, Participants are not required to present a formal claim in order to receive benefits under the Plan. If, however, any person believes that benefits are being denied improperly, that the Plan is not being operated properly, or that their legal rights are being violated with respect to the Plan (the “</w:t>
      </w:r>
      <w:r>
        <w:rPr>
          <w:rFonts w:ascii="Times New Roman;Times;Serif" w:hAnsi="Times New Roman;Times;Serif"/>
          <w:b w:val="false"/>
          <w:i w:val="false"/>
          <w:caps w:val="false"/>
          <w:smallCaps w:val="false"/>
          <w:sz w:val="20"/>
          <w:u w:val="single"/>
        </w:rPr>
        <w:t>Claimant</w:t>
      </w:r>
      <w:r>
        <w:rPr>
          <w:rFonts w:ascii="Times New Roman;Times;Serif" w:hAnsi="Times New Roman;Times;Serif"/>
          <w:b w:val="false"/>
          <w:i w:val="false"/>
          <w:caps w:val="false"/>
          <w:smallCaps w:val="false"/>
          <w:sz w:val="20"/>
        </w:rPr>
        <w:t xml:space="preserve">”), the Claimant must file a formal claim, in writing, with the Administrator in accordance with this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This requirement applies to all claims that any Claimant has with respect to the Plan, except to the extent the Administrator determines, in its sole discretion, that it does not have the power to grant all relief reasonably being sought by the Claimant. A formal claim must be filed within 90 days after the date the Claimant first knew or should have known of the facts on which the claim is based, unless the Administrator consents otherwise in writing. All written claims shall be submitted to the Chief Legal Officer, Merlin, Inc. at legal@merlinlabs.com or 129 South Street, Boston, MA 02111, telephone number (857)201-3979. The Administrator shall provide a Claimant, on request, with a copy of the claims procedures established under this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Timing of Claim Denial</w:t>
      </w:r>
      <w:r>
        <w:rPr>
          <w:rFonts w:ascii="Times New Roman;Times;Serif" w:hAnsi="Times New Roman;Times;Serif"/>
          <w:b w:val="false"/>
          <w:i w:val="false"/>
          <w:caps w:val="false"/>
          <w:smallCaps w:val="false"/>
          <w:sz w:val="20"/>
        </w:rPr>
        <w:t>. If the Administrator denies a claim in whole or in part (an “</w:t>
      </w:r>
      <w:r>
        <w:rPr>
          <w:rFonts w:ascii="Times New Roman;Times;Serif" w:hAnsi="Times New Roman;Times;Serif"/>
          <w:b w:val="false"/>
          <w:i w:val="false"/>
          <w:caps w:val="false"/>
          <w:smallCaps w:val="false"/>
          <w:sz w:val="20"/>
          <w:u w:val="single"/>
        </w:rPr>
        <w:t>initial adverse benefit determination</w:t>
      </w:r>
      <w:r>
        <w:rPr>
          <w:rFonts w:ascii="Times New Roman;Times;Serif" w:hAnsi="Times New Roman;Times;Serif"/>
          <w:b w:val="false"/>
          <w:i w:val="false"/>
          <w:caps w:val="false"/>
          <w:smallCaps w:val="false"/>
          <w:sz w:val="20"/>
        </w:rPr>
        <w:t>”), then the Administrator will provide notice of the decision to the Claimant within a reasonable period of time, not to exceed 90 days after the Administrator receives the claim, unless the Administrator determines that any extension of time for processing is required. In the event that the Administrator determines that such an extension is required, written notice of the extension will be furnished to the Claimant before the end of the initial 90 day review period. The extension will not exceed a period of 90 days from the end of the initial 90 day period, and the extension notice will indicate the special circumstances requiring such extension of time and the date by which the Administrator expects to render the benefit decision.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Contents of Claim Denial Notice</w:t>
      </w:r>
      <w:r>
        <w:rPr>
          <w:rFonts w:ascii="Times New Roman;Times;Serif" w:hAnsi="Times New Roman;Times;Serif"/>
          <w:b w:val="false"/>
          <w:i w:val="false"/>
          <w:caps w:val="false"/>
          <w:smallCaps w:val="false"/>
          <w:sz w:val="20"/>
        </w:rPr>
        <w:t>. The Administrator shall provide every Claimant who is denied a claim for benefits with a written or electronic notice of its initial adverse benefit determination. The notice will set forth, in a manner to be understood by the Claimant:</w:t>
      </w:r>
    </w:p>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06"/>
        <w:gridCol w:w="9746"/>
      </w:tblGrid>
      <w:tr>
        <w:trPr/>
        <w:tc>
          <w:tcPr>
            <w:tcW w:w="5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(1)</w:t>
            </w:r>
          </w:p>
        </w:tc>
        <w:tc>
          <w:tcPr>
            <w:tcW w:w="9746" w:type="dxa"/>
            <w:tcBorders/>
            <w:vAlign w:val="center"/>
          </w:tcPr>
          <w:p>
            <w:pPr>
              <w:pStyle w:val="TableContents"/>
              <w:bidi w:val="0"/>
              <w:spacing w:before="0" w:after="283"/>
              <w:jc w:val="both"/>
              <w:rPr/>
            </w:pPr>
            <w:r>
              <w:rPr/>
              <w:t>the specific reason or reasons for the initial adverse benefit determination;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88"/>
        <w:gridCol w:w="9767"/>
      </w:tblGrid>
      <w:tr>
        <w:trPr/>
        <w:tc>
          <w:tcPr>
            <w:tcW w:w="5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(2)</w:t>
            </w:r>
          </w:p>
        </w:tc>
        <w:tc>
          <w:tcPr>
            <w:tcW w:w="9767" w:type="dxa"/>
            <w:tcBorders/>
            <w:vAlign w:val="center"/>
          </w:tcPr>
          <w:p>
            <w:pPr>
              <w:pStyle w:val="TableContents"/>
              <w:bidi w:val="0"/>
              <w:spacing w:before="0" w:after="283"/>
              <w:jc w:val="both"/>
              <w:rPr/>
            </w:pPr>
            <w:r>
              <w:rPr/>
              <w:t>reference to the specific Plan provisions on which the determination is based;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(3)</w:t>
            </w:r>
          </w:p>
        </w:tc>
        <w:tc>
          <w:tcPr>
            <w:tcW w:w="9908" w:type="dxa"/>
            <w:tcBorders/>
            <w:vAlign w:val="center"/>
          </w:tcPr>
          <w:p>
            <w:pPr>
              <w:pStyle w:val="TableContents"/>
              <w:bidi w:val="0"/>
              <w:spacing w:before="0" w:after="283"/>
              <w:jc w:val="both"/>
              <w:rPr/>
            </w:pPr>
            <w:r>
              <w:rPr/>
              <w:t>a description of any additional material or information necessary for the Claimant to perfect the claim and an explanation as to why such information is necessary;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(4)</w:t>
            </w:r>
          </w:p>
        </w:tc>
        <w:tc>
          <w:tcPr>
            <w:tcW w:w="9925" w:type="dxa"/>
            <w:tcBorders/>
            <w:vAlign w:val="center"/>
          </w:tcPr>
          <w:p>
            <w:pPr>
              <w:pStyle w:val="TableContents"/>
              <w:bidi w:val="0"/>
              <w:spacing w:before="0" w:after="283"/>
              <w:jc w:val="both"/>
              <w:rPr/>
            </w:pPr>
            <w:r>
              <w:rPr/>
              <w:t>an explanation of the Plan’s appeal procedure and the time limits applicable to such procedures, including a statement of the Claimant’s right to bring an action under Section 502(a) of ERISA after receiving a final adverse benefit determination upon appeal.</w:t>
            </w:r>
          </w:p>
        </w:tc>
      </w:tr>
    </w:tbl>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2880" w:right="0" w:hanging="720"/>
        <w:jc w:val="center"/>
        <w:rPr>
          <w:bdr w:val="single" w:sz="12" w:space="1" w:color="000000"/>
        </w:rPr>
      </w:pPr>
      <w:r>
        <w:rPr>
          <w:bdr w:val="single" w:sz="12" w:space="1" w:color="000000"/>
        </w:rPr>
        <w:t>Exh. D-1</w:t>
      </w:r>
    </w:p>
    <w:p>
      <w:pPr>
        <w:pStyle w:val="TextBody"/>
        <w:bidi w:val="0"/>
        <w:spacing w:before="0" w:after="0"/>
        <w:ind w:left="0" w:right="0" w:hanging="0"/>
        <w:jc w:val="left"/>
        <w:rPr/>
      </w:pPr>
      <w:r>
        <w:rPr/>
        <w:t> </w:t>
      </w:r>
    </w:p>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Appeal Procedures</w:t>
      </w:r>
      <w:r>
        <w:rPr>
          <w:rFonts w:ascii="Times New Roman;Times;Serif" w:hAnsi="Times New Roman;Times;Serif"/>
          <w:b w:val="false"/>
          <w:i w:val="false"/>
          <w:caps w:val="false"/>
          <w:smallCaps w:val="false"/>
          <w:sz w:val="20"/>
        </w:rPr>
        <w:t>. The Claimant may appeal an initial adverse benefit determination by submitting a written appeal to the Administrator within 60 days of receiving notice of the denial of the claim. The Claimant:</w:t>
      </w:r>
    </w:p>
    <w:p>
      <w:pPr>
        <w:pStyle w:val="TextBody"/>
        <w:bidi w:val="0"/>
        <w:spacing w:before="0" w:after="0"/>
        <w:ind w:left="28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(1)</w:t>
            </w:r>
          </w:p>
        </w:tc>
        <w:tc>
          <w:tcPr>
            <w:tcW w:w="9880" w:type="dxa"/>
            <w:tcBorders/>
            <w:vAlign w:val="center"/>
          </w:tcPr>
          <w:p>
            <w:pPr>
              <w:pStyle w:val="TableContents"/>
              <w:bidi w:val="0"/>
              <w:spacing w:before="0" w:after="283"/>
              <w:jc w:val="both"/>
              <w:rPr/>
            </w:pPr>
            <w:r>
              <w:rPr/>
              <w:t>may submit written comments, documents, records and other information relating to the claim for benefits;</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283"/>
              <w:jc w:val="both"/>
              <w:rPr/>
            </w:pPr>
            <w:r>
              <w:rPr/>
              <w:t>will be provided, upon request and without charge, reasonable access to and copies of all documents, records and other information relevant to the Claimant’s claim for benefits; and</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(3)</w:t>
            </w:r>
          </w:p>
        </w:tc>
        <w:tc>
          <w:tcPr>
            <w:tcW w:w="9926" w:type="dxa"/>
            <w:tcBorders/>
            <w:vAlign w:val="center"/>
          </w:tcPr>
          <w:p>
            <w:pPr>
              <w:pStyle w:val="TableContents"/>
              <w:bidi w:val="0"/>
              <w:spacing w:before="0" w:after="283"/>
              <w:jc w:val="both"/>
              <w:rPr/>
            </w:pPr>
            <w:r>
              <w:rPr/>
              <w:t>will receive a review that takes into account all comments, documents, records and other information submitted by the Claimant relating to the appeal, without regard to whether such information was submitted or considered in the initial benefit determination.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Decision on Appeal</w:t>
      </w:r>
      <w:r>
        <w:rPr>
          <w:rFonts w:ascii="Times New Roman;Times;Serif" w:hAnsi="Times New Roman;Times;Serif"/>
          <w:b w:val="false"/>
          <w:i w:val="false"/>
          <w:caps w:val="false"/>
          <w:smallCaps w:val="false"/>
          <w:sz w:val="20"/>
        </w:rPr>
        <w:t>. The Administrator will conduct a full and fair review of the claim and the initial adverse benefit determination. The Administrator holds regularly scheduled meetings at least quarterly. The Administrator shall make a benefit determination no later than the date of the regularly scheduled meeting that immediately follows the Administrator’s receipt of an appeal request, unless the appeal request is filed within 30 days preceding the date of such meeting. In such case, a benefit determination may be made by no later than the date of the second regularly scheduled meeting following the Administrator’s receipt of the appeal request. If special circumstances require a further extension of time for processing, a benefit determination shall be rendered no later than the third regularly scheduled meeting of the Administrator following the Administrator’s receipt of the appeal request. If such an extension of time for review is required, the Administrator shall provide the Claimant with written notice of the extension, describing the special circumstances and the date as of which the benefit determination will be made, prior to the commencement of the extension. The Administrator generally cannot extend the review period any further unless the Claimant voluntarily agrees to a longer extension. The Administrator shall notify the Claimant of the benefit determination as soon as possible but not later than five days after it has been made.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Notice of Determination on Appeal</w:t>
      </w:r>
      <w:r>
        <w:rPr>
          <w:rFonts w:ascii="Times New Roman;Times;Serif" w:hAnsi="Times New Roman;Times;Serif"/>
          <w:b w:val="false"/>
          <w:i w:val="false"/>
          <w:caps w:val="false"/>
          <w:smallCaps w:val="false"/>
          <w:sz w:val="20"/>
        </w:rPr>
        <w:t>. If the appeal is denied, the Administrator shall provide the Claimant with written or electronic notification of its denial (“</w:t>
      </w:r>
      <w:r>
        <w:rPr>
          <w:rFonts w:ascii="Times New Roman;Times;Serif" w:hAnsi="Times New Roman;Times;Serif"/>
          <w:b w:val="false"/>
          <w:i w:val="false"/>
          <w:caps w:val="false"/>
          <w:smallCaps w:val="false"/>
          <w:sz w:val="20"/>
          <w:u w:val="single"/>
        </w:rPr>
        <w:t>final adverse benefit determination</w:t>
      </w:r>
      <w:r>
        <w:rPr>
          <w:rFonts w:ascii="Times New Roman;Times;Serif" w:hAnsi="Times New Roman;Times;Serif"/>
          <w:b w:val="false"/>
          <w:i w:val="false"/>
          <w:caps w:val="false"/>
          <w:smallCaps w:val="false"/>
          <w:sz w:val="20"/>
        </w:rPr>
        <w:t>”), which shall set forth, in a manner intended to be understood by the Claimant:</w:t>
      </w:r>
    </w:p>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12"/>
        <w:gridCol w:w="9739"/>
      </w:tblGrid>
      <w:tr>
        <w:trPr/>
        <w:tc>
          <w:tcPr>
            <w:tcW w:w="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(1)</w:t>
            </w:r>
          </w:p>
        </w:tc>
        <w:tc>
          <w:tcPr>
            <w:tcW w:w="9739" w:type="dxa"/>
            <w:tcBorders/>
            <w:vAlign w:val="center"/>
          </w:tcPr>
          <w:p>
            <w:pPr>
              <w:pStyle w:val="TableContents"/>
              <w:bidi w:val="0"/>
              <w:spacing w:before="0" w:after="283"/>
              <w:jc w:val="both"/>
              <w:rPr/>
            </w:pPr>
            <w:r>
              <w:rPr/>
              <w:t>the specific reason or reasons for the final adverse benefit determination;</w:t>
            </w:r>
          </w:p>
        </w:tc>
      </w:tr>
    </w:tbl>
    <w:p>
      <w:pPr>
        <w:pStyle w:val="TextBody"/>
        <w:bidi w:val="0"/>
        <w:spacing w:before="0" w:after="0"/>
        <w:ind w:left="28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08"/>
        <w:gridCol w:w="9857"/>
      </w:tblGrid>
      <w:tr>
        <w:trPr/>
        <w:tc>
          <w:tcPr>
            <w:tcW w:w="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(2)</w:t>
            </w:r>
          </w:p>
        </w:tc>
        <w:tc>
          <w:tcPr>
            <w:tcW w:w="9857" w:type="dxa"/>
            <w:tcBorders/>
            <w:vAlign w:val="center"/>
          </w:tcPr>
          <w:p>
            <w:pPr>
              <w:pStyle w:val="TableContents"/>
              <w:bidi w:val="0"/>
              <w:spacing w:before="0" w:after="283"/>
              <w:jc w:val="both"/>
              <w:rPr/>
            </w:pPr>
            <w:r>
              <w:rPr/>
              <w:t>reference to the specific Plan provisions on which the final adverse benefit determination is based;</w:t>
            </w:r>
          </w:p>
        </w:tc>
      </w:tr>
    </w:tbl>
    <w:p>
      <w:pPr>
        <w:pStyle w:val="TextBody"/>
        <w:bidi w:val="0"/>
        <w:spacing w:before="0" w:after="0"/>
        <w:ind w:left="28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283"/>
              <w:jc w:val="both"/>
              <w:rPr/>
            </w:pPr>
            <w:r>
              <w:rPr/>
              <w:t>a statement that the Claimant is entitled to receive, upon request and without charge, reasonable access to, and copies of, all documents, records and other information relevant to the claim for benefits;</w:t>
            </w:r>
          </w:p>
        </w:tc>
      </w:tr>
    </w:tbl>
    <w:p>
      <w:pPr>
        <w:pStyle w:val="TextBody"/>
        <w:bidi w:val="0"/>
        <w:spacing w:before="0" w:after="0"/>
        <w:ind w:left="28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(4)</w:t>
            </w:r>
          </w:p>
        </w:tc>
        <w:tc>
          <w:tcPr>
            <w:tcW w:w="9904" w:type="dxa"/>
            <w:tcBorders/>
            <w:vAlign w:val="center"/>
          </w:tcPr>
          <w:p>
            <w:pPr>
              <w:pStyle w:val="TableContents"/>
              <w:bidi w:val="0"/>
              <w:spacing w:before="0" w:after="283"/>
              <w:jc w:val="both"/>
              <w:rPr/>
            </w:pPr>
            <w:r>
              <w:rPr/>
              <w:t>a statement describing any voluntary appeal procedures offered by the Plan and the Claimant’s right to obtain the information about such procedures; and</w:t>
            </w:r>
          </w:p>
        </w:tc>
      </w:tr>
    </w:tbl>
    <w:p>
      <w:pPr>
        <w:pStyle w:val="TextBody"/>
        <w:bidi w:val="0"/>
        <w:spacing w:before="0" w:after="0"/>
        <w:ind w:left="28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52"/>
        <w:gridCol w:w="9808"/>
      </w:tblGrid>
      <w:tr>
        <w:trPr/>
        <w:tc>
          <w:tcPr>
            <w:tcW w:w="4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(5)</w:t>
            </w:r>
          </w:p>
        </w:tc>
        <w:tc>
          <w:tcPr>
            <w:tcW w:w="9808" w:type="dxa"/>
            <w:tcBorders/>
            <w:vAlign w:val="center"/>
          </w:tcPr>
          <w:p>
            <w:pPr>
              <w:pStyle w:val="TableContents"/>
              <w:bidi w:val="0"/>
              <w:spacing w:before="0" w:after="283"/>
              <w:jc w:val="both"/>
              <w:rPr/>
            </w:pPr>
            <w:r>
              <w:rPr/>
              <w:t>a statement of the Claimant’s right to bring an action under Section 502(a) of ERISA.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Exhaustion; Judicial Proceedings</w:t>
      </w:r>
      <w:r>
        <w:rPr>
          <w:rFonts w:ascii="Times New Roman;Times;Serif" w:hAnsi="Times New Roman;Times;Serif"/>
          <w:b w:val="false"/>
          <w:i w:val="false"/>
          <w:caps w:val="false"/>
          <w:smallCaps w:val="false"/>
          <w:sz w:val="20"/>
        </w:rPr>
        <w:t>. No action at law or in equity shall be brought to recover benefits under the Plan until the claim and appeal rights described in the Plan have been exercised and the Plan benefits requested in such appeal have been denied in whole or in part. If any judicial proceeding is undertaken to appeal the denial of a claim or bring any other action under ERISA, the evidence presented may be strictly limited to the evidence timely presented to the Administrator. Any such judicial proceeding must be filed by the earlier of: (a) one year after the final adverse benefit determination or (b) one year after the Participant or other Claimant commenced payment of the Plan benefits at issue in the judicial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Administrator’s Decision is Binding</w:t>
      </w:r>
      <w:r>
        <w:rPr>
          <w:rFonts w:ascii="Times New Roman;Times;Serif" w:hAnsi="Times New Roman;Times;Serif"/>
          <w:b w:val="false"/>
          <w:i w:val="false"/>
          <w:caps w:val="false"/>
          <w:smallCaps w:val="false"/>
          <w:sz w:val="20"/>
        </w:rPr>
        <w:t>. Benefits under the Plan shall be paid only if the Administrator decides in its sole discretion that a Claimant is entitled to them. In determining claims for benefits, the Administrator has the authority to interpret the Plan, to resolve ambiguities, to make factual determinations, and to resolve questions relating to eligibility for and amount of benefits. Subject to applicable law, any decision made in accordance with the above claims procedures is final and binding on all parties and shall be given the maximum possible deference allowed by law. A misstatement or other mistake of fact shall be corrected when it becomes known and the Administrator shall make such adjustment on account thereof as it considers equitable and practicable.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Exh. D-2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66" w:name="ea028257401ex10-12.htm"/>
      <w:bookmarkStart w:id="67" w:name="ksea028257401ex1012"/>
      <w:bookmarkEnd w:id="66"/>
      <w:bookmarkEnd w:id="67"/>
      <w:r>
        <w:rPr>
          <w:rFonts w:ascii="Times New Roman;Times;Serif" w:hAnsi="Times New Roman;Times;Serif"/>
          <w:b/>
          <w:i w:val="false"/>
          <w:caps w:val="false"/>
          <w:smallCaps w:val="false"/>
          <w:sz w:val="20"/>
        </w:rPr>
        <w:t>Exhibit 10.12</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MERLIN, INC.</w:t>
      </w:r>
    </w:p>
    <w:p>
      <w:pPr>
        <w:pStyle w:val="TextBody"/>
        <w:bidi w:val="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 PROGRAM</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Eligible Directors (as defined below) on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of Merlin,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shall be eligible to receive cash and equity compensation as set forth in this Non-Employee Director Compensation Program (this “</w:t>
      </w:r>
      <w:r>
        <w:rPr>
          <w:rFonts w:ascii="Times New Roman;Times;Serif" w:hAnsi="Times New Roman;Times;Serif"/>
          <w:b/>
          <w:i/>
          <w:caps w:val="false"/>
          <w:smallCaps w:val="false"/>
          <w:sz w:val="20"/>
        </w:rPr>
        <w:t>Program</w:t>
      </w:r>
      <w:r>
        <w:rPr>
          <w:rFonts w:ascii="Times New Roman;Times;Serif" w:hAnsi="Times New Roman;Times;Serif"/>
          <w:b w:val="false"/>
          <w:i w:val="false"/>
          <w:caps w:val="false"/>
          <w:smallCaps w:val="false"/>
          <w:sz w:val="20"/>
        </w:rPr>
        <w:t>”). The cash and equity compensation described in this Program shall be paid or be made, as applicable, automatically as set forth herein and without further action of the Board, to each member of the Board who is not an employee of the Company or any of its parents or subsidiaries (each, an “</w:t>
      </w:r>
      <w:r>
        <w:rPr>
          <w:rFonts w:ascii="Times New Roman;Times;Serif" w:hAnsi="Times New Roman;Times;Serif"/>
          <w:b/>
          <w:i/>
          <w:caps w:val="false"/>
          <w:smallCaps w:val="false"/>
          <w:sz w:val="20"/>
        </w:rPr>
        <w:t>Eligible Director</w:t>
      </w:r>
      <w:r>
        <w:rPr>
          <w:rFonts w:ascii="Times New Roman;Times;Serif" w:hAnsi="Times New Roman;Times;Serif"/>
          <w:b w:val="false"/>
          <w:i w:val="false"/>
          <w:caps w:val="false"/>
          <w:smallCaps w:val="false"/>
          <w:sz w:val="20"/>
        </w:rPr>
        <w:t>”) unless such member is determined by the Board to not be an Eligible Director or unless such Eligible Director declines the receipt of such cash or equity compensation by written notice to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Program shall become effective upon the Effective Date (as defined below)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 For purposes of this Program,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shall mean March 16, 2026.</w:t>
      </w:r>
    </w:p>
    <w:p>
      <w:pPr>
        <w:pStyle w:val="TextBody"/>
        <w:bidi w:val="0"/>
        <w:ind w:left="1440" w:right="0" w:hanging="72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20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2000" w:type="dxa"/>
            <w:tcBorders/>
            <w:vAlign w:val="center"/>
          </w:tcPr>
          <w:p>
            <w:pPr>
              <w:pStyle w:val="TableContents"/>
              <w:bidi w:val="0"/>
              <w:spacing w:before="0" w:after="283"/>
              <w:jc w:val="both"/>
              <w:rPr/>
            </w:pPr>
            <w:r>
              <w:rPr>
                <w:u w:val="single"/>
              </w:rPr>
              <w:t>Cash Compensation</w:t>
            </w:r>
            <w:r>
              <w:rPr/>
              <w:t>.</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Retainers</w:t>
      </w:r>
      <w:r>
        <w:rPr>
          <w:rFonts w:ascii="Times New Roman;Times;Serif" w:hAnsi="Times New Roman;Times;Serif"/>
          <w:b w:val="false"/>
          <w:i w:val="false"/>
          <w:caps w:val="false"/>
          <w:smallCaps w:val="false"/>
          <w:sz w:val="20"/>
        </w:rPr>
        <w:t>. Each Eligible Director shall be eligible to receive an annual cash retainer of $65,000 for service on the Board.</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Additional Annual Retainers</w:t>
      </w:r>
      <w:r>
        <w:rPr>
          <w:rFonts w:ascii="Times New Roman;Times;Serif" w:hAnsi="Times New Roman;Times;Serif"/>
          <w:b w:val="false"/>
          <w:i w:val="false"/>
          <w:caps w:val="false"/>
          <w:smallCaps w:val="false"/>
          <w:sz w:val="20"/>
        </w:rPr>
        <w:t>. An Eligible Director shall be eligible to receive the following additional annual retainers, as applicable:</w:t>
      </w:r>
    </w:p>
    <w:p>
      <w:pPr>
        <w:pStyle w:val="TextBody"/>
        <w:bidi w:val="0"/>
        <w:ind w:left="0" w:right="0" w:firstLine="2520"/>
        <w:jc w:val="both"/>
        <w:rPr>
          <w:caps w:val="false"/>
          <w:smallCaps w:val="false"/>
        </w:rPr>
      </w:pPr>
      <w:r>
        <w:rPr>
          <w:caps w:val="false"/>
          <w:smallCaps w:val="false"/>
        </w:rPr>
        <w:t> </w:t>
      </w:r>
    </w:p>
    <w:p>
      <w:pPr>
        <w:pStyle w:val="TextBody"/>
        <w:bidi w:val="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Lead Independent Director</w:t>
      </w:r>
      <w:r>
        <w:rPr>
          <w:rFonts w:ascii="Times New Roman;Times;Serif" w:hAnsi="Times New Roman;Times;Serif"/>
          <w:b w:val="false"/>
          <w:i w:val="false"/>
          <w:caps w:val="false"/>
          <w:smallCaps w:val="false"/>
          <w:sz w:val="20"/>
        </w:rPr>
        <w:t>. An Eligible Director serving as Lead Independent Director of the Board shall be eligible to receive an additional annual retainer of $50,000 for such service.</w:t>
      </w:r>
    </w:p>
    <w:p>
      <w:pPr>
        <w:pStyle w:val="TextBody"/>
        <w:bidi w:val="0"/>
        <w:ind w:left="0" w:right="0" w:firstLine="2520"/>
        <w:jc w:val="both"/>
        <w:rPr>
          <w:caps w:val="false"/>
          <w:smallCaps w:val="false"/>
        </w:rPr>
      </w:pPr>
      <w:r>
        <w:rPr>
          <w:caps w:val="false"/>
          <w:smallCaps w:val="false"/>
        </w:rPr>
        <w:t> </w:t>
      </w:r>
    </w:p>
    <w:p>
      <w:pPr>
        <w:pStyle w:val="TextBody"/>
        <w:bidi w:val="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Committee Chair</w:t>
      </w:r>
      <w:r>
        <w:rPr>
          <w:rFonts w:ascii="Times New Roman;Times;Serif" w:hAnsi="Times New Roman;Times;Serif"/>
          <w:b w:val="false"/>
          <w:i w:val="false"/>
          <w:caps w:val="false"/>
          <w:smallCaps w:val="false"/>
          <w:sz w:val="20"/>
        </w:rPr>
        <w:t>. An Eligible Director serving as Chair of the Audit Committee, the Compensation Committee or the Nominating and Corporate Governance Committee shall be eligible to receive an additional annual retainer of $20,000, $15,000 or $10,000, respectively, for such service on such committee.</w:t>
      </w:r>
    </w:p>
    <w:p>
      <w:pPr>
        <w:pStyle w:val="TextBody"/>
        <w:bidi w:val="0"/>
        <w:ind w:left="0" w:right="0" w:firstLine="2520"/>
        <w:jc w:val="both"/>
        <w:rPr>
          <w:caps w:val="false"/>
          <w:smallCaps w:val="false"/>
        </w:rPr>
      </w:pPr>
      <w:r>
        <w:rPr>
          <w:caps w:val="false"/>
          <w:smallCaps w:val="false"/>
        </w:rPr>
        <w:t> </w:t>
      </w:r>
    </w:p>
    <w:p>
      <w:pPr>
        <w:pStyle w:val="TextBody"/>
        <w:bidi w:val="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Committee Member (Non-Chair)</w:t>
      </w:r>
      <w:r>
        <w:rPr>
          <w:rFonts w:ascii="Times New Roman;Times;Serif" w:hAnsi="Times New Roman;Times;Serif"/>
          <w:b w:val="false"/>
          <w:i w:val="false"/>
          <w:caps w:val="false"/>
          <w:smallCaps w:val="false"/>
          <w:sz w:val="20"/>
        </w:rPr>
        <w:t>. An Eligible Director serving as a non-Chair member of the Audit Committee, the Compensation Committee or the Nominating and Corporate Governance Committee shall be eligible to receive an additional annual retainer of $10,000, $7,500 or $5,000, respectively, for such service on such committee.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 of Retainers</w:t>
      </w:r>
      <w:r>
        <w:rPr>
          <w:rFonts w:ascii="Times New Roman;Times;Serif" w:hAnsi="Times New Roman;Times;Serif"/>
          <w:b w:val="false"/>
          <w:i w:val="false"/>
          <w:caps w:val="false"/>
          <w:smallCaps w:val="false"/>
          <w:sz w:val="20"/>
        </w:rPr>
        <w:t>. The annual cash retainers described in Section 1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 In addition, Eligible Directors shall be permitted to elect to receive vested shares of the Company’s common stock in lieu of Annual Retainers and/or Additional Annual Retainers, which shall be issued on or around the date on which the Company pays the corresponding Annual Retainer and/or Additional Annual Retainer. Any such election shall be made no later than the last day of the calendar quarter with respect to which such Annual Retainer and/or Additional Annual Retainer was earned, and the number of shares issuable shall be determined based on the Fair Market Value (as defined in the Company’s 2026 Incentive Award Plan) of the Company’s common stock on the applicable payment/issuance date.</w:t>
      </w:r>
    </w:p>
    <w:p>
      <w:pPr>
        <w:pStyle w:val="TextBody"/>
        <w:bidi w:val="0"/>
        <w:ind w:left="1440" w:right="0" w:hanging="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1440" w:right="0" w:hanging="72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20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2150" w:type="dxa"/>
            <w:tcBorders/>
            <w:vAlign w:val="center"/>
          </w:tcPr>
          <w:p>
            <w:pPr>
              <w:pStyle w:val="TableContents"/>
              <w:bidi w:val="0"/>
              <w:spacing w:before="0" w:after="283"/>
              <w:jc w:val="both"/>
              <w:rPr/>
            </w:pPr>
            <w:r>
              <w:rPr>
                <w:u w:val="single"/>
              </w:rPr>
              <w:t>Equity Compensation</w:t>
            </w:r>
            <w:r>
              <w:rPr/>
              <w:t>.</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Eligible Directors shall be granted the equity awards described below without further action from the Board. The awards described below shall be granted under and shall be subject to the terms and provisions of the Company’s 2026 Incentive Award Plan or any other applicable Company equity incentive plan then-maintained by the Company (such plan, as may be amended from time to time, the “</w:t>
      </w:r>
      <w:r>
        <w:rPr>
          <w:rFonts w:ascii="Times New Roman;Times;Serif" w:hAnsi="Times New Roman;Times;Serif"/>
          <w:b/>
          <w:i/>
          <w:caps w:val="false"/>
          <w:smallCaps w:val="false"/>
          <w:sz w:val="20"/>
        </w:rPr>
        <w:t>Equity Plan</w:t>
      </w:r>
      <w:r>
        <w:rPr>
          <w:rFonts w:ascii="Times New Roman;Times;Serif" w:hAnsi="Times New Roman;Times;Serif"/>
          <w:b w:val="false"/>
          <w:i w:val="false"/>
          <w:caps w:val="false"/>
          <w:smallCaps w:val="false"/>
          <w:sz w:val="20"/>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in this Section ‎2 not otherwise defined herein shall have the meanings ascribed to them in the Equity Plan.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Initial Awards</w:t>
      </w:r>
      <w:r>
        <w:rPr>
          <w:rFonts w:ascii="Times New Roman;Times;Serif" w:hAnsi="Times New Roman;Times;Serif"/>
          <w:b w:val="false"/>
          <w:i w:val="false"/>
          <w:caps w:val="false"/>
          <w:smallCaps w:val="false"/>
          <w:sz w:val="20"/>
        </w:rPr>
        <w:t>. An Eligible Director who is initially elected or appointed to serve on the Board after the Effective Date automatically shall be granted a Restricted Stock Unit award (the “</w:t>
      </w:r>
      <w:r>
        <w:rPr>
          <w:rFonts w:ascii="Times New Roman;Times;Serif" w:hAnsi="Times New Roman;Times;Serif"/>
          <w:b/>
          <w:i/>
          <w:caps w:val="false"/>
          <w:smallCaps w:val="false"/>
          <w:sz w:val="20"/>
        </w:rPr>
        <w:t>Initial Award</w:t>
      </w:r>
      <w:r>
        <w:rPr>
          <w:rFonts w:ascii="Times New Roman;Times;Serif" w:hAnsi="Times New Roman;Times;Serif"/>
          <w:b w:val="false"/>
          <w:i w:val="false"/>
          <w:caps w:val="false"/>
          <w:smallCaps w:val="false"/>
          <w:sz w:val="20"/>
        </w:rPr>
        <w:t>”). Each Initial Award shall be granted on the date on which such Eligible Director is appointed or elected to serve on the Board (the “</w:t>
      </w:r>
      <w:r>
        <w:rPr>
          <w:rFonts w:ascii="Times New Roman;Times;Serif" w:hAnsi="Times New Roman;Times;Serif"/>
          <w:b/>
          <w:i/>
          <w:caps w:val="false"/>
          <w:smallCaps w:val="false"/>
          <w:sz w:val="20"/>
        </w:rPr>
        <w:t>Election Date</w:t>
      </w:r>
      <w:r>
        <w:rPr>
          <w:rFonts w:ascii="Times New Roman;Times;Serif" w:hAnsi="Times New Roman;Times;Serif"/>
          <w:b w:val="false"/>
          <w:i w:val="false"/>
          <w:caps w:val="false"/>
          <w:smallCaps w:val="false"/>
          <w:sz w:val="20"/>
        </w:rPr>
        <w:t>”), and shall vest in full on the earlier to occur of (x) the one-year anniversary of the applicable Election Date and (y) one day prior to the date of the next Annual Meeting following the Election Date, subject to continued service through the applicable vesting date. The number of Restricted Stock Units subject to an Initial Award will be determined by dividing the Pro-Rated Value (as defined below) by the closing price for the Company’s common stock on the applicable grant date. The “</w:t>
      </w:r>
      <w:r>
        <w:rPr>
          <w:rFonts w:ascii="Times New Roman;Times;Serif" w:hAnsi="Times New Roman;Times;Serif"/>
          <w:b/>
          <w:i/>
          <w:caps w:val="false"/>
          <w:smallCaps w:val="false"/>
          <w:sz w:val="20"/>
        </w:rPr>
        <w:t>Pro-Rated Value</w:t>
      </w:r>
      <w:r>
        <w:rPr>
          <w:rFonts w:ascii="Times New Roman;Times;Serif" w:hAnsi="Times New Roman;Times;Serif"/>
          <w:b w:val="false"/>
          <w:i w:val="false"/>
          <w:caps w:val="false"/>
          <w:smallCaps w:val="false"/>
          <w:sz w:val="20"/>
        </w:rPr>
        <w:t>” shall equal $175,000, multiplied by a fraction, (i) the numerator of which is the difference between 365 and the number of days from the immediately preceding Annual Meeting date (or the Effective Date, if there is no preceding Annual Meeting date) through the Election Date and (ii) the denominator of which is 365.</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Annual Awards</w:t>
      </w:r>
      <w:r>
        <w:rPr>
          <w:rFonts w:ascii="Times New Roman;Times;Serif" w:hAnsi="Times New Roman;Times;Serif"/>
          <w:b w:val="false"/>
          <w:i w:val="false"/>
          <w:caps w:val="false"/>
          <w:smallCaps w:val="false"/>
          <w:sz w:val="20"/>
        </w:rPr>
        <w:t>. An Eligible Director who is serving on the Board as of the date of the annual meeting of the Company’s stockholders (each annual meeting, an “</w:t>
      </w:r>
      <w:r>
        <w:rPr>
          <w:rFonts w:ascii="Times New Roman;Times;Serif" w:hAnsi="Times New Roman;Times;Serif"/>
          <w:b/>
          <w:i/>
          <w:caps w:val="false"/>
          <w:smallCaps w:val="false"/>
          <w:sz w:val="20"/>
        </w:rPr>
        <w:t>Annual Meeting</w:t>
      </w:r>
      <w:r>
        <w:rPr>
          <w:rFonts w:ascii="Times New Roman;Times;Serif" w:hAnsi="Times New Roman;Times;Serif"/>
          <w:b w:val="false"/>
          <w:i w:val="false"/>
          <w:caps w:val="false"/>
          <w:smallCaps w:val="false"/>
          <w:sz w:val="20"/>
        </w:rPr>
        <w:t>”) each calendar year beginning with calendar year 2027 shall be granted a Restricted Stock Unit award with a value of $175,000 (an “</w:t>
      </w:r>
      <w:r>
        <w:rPr>
          <w:rFonts w:ascii="Times New Roman;Times;Serif" w:hAnsi="Times New Roman;Times;Serif"/>
          <w:b/>
          <w:i/>
          <w:caps w:val="false"/>
          <w:smallCaps w:val="false"/>
          <w:sz w:val="20"/>
        </w:rPr>
        <w:t>Annual Award</w:t>
      </w:r>
      <w:r>
        <w:rPr>
          <w:rFonts w:ascii="Times New Roman;Times;Serif" w:hAnsi="Times New Roman;Times;Serif"/>
          <w:b w:val="false"/>
          <w:i w:val="false"/>
          <w:caps w:val="false"/>
          <w:smallCaps w:val="false"/>
          <w:sz w:val="20"/>
        </w:rPr>
        <w:t>”, and together with the 2026 Award and the Initial Award, the “</w:t>
      </w:r>
      <w:r>
        <w:rPr>
          <w:rFonts w:ascii="Times New Roman;Times;Serif" w:hAnsi="Times New Roman;Times;Serif"/>
          <w:b/>
          <w:i/>
          <w:caps w:val="false"/>
          <w:smallCaps w:val="false"/>
          <w:sz w:val="20"/>
        </w:rPr>
        <w:t>Equity Awards</w:t>
      </w:r>
      <w:r>
        <w:rPr>
          <w:rFonts w:ascii="Times New Roman;Times;Serif" w:hAnsi="Times New Roman;Times;Serif"/>
          <w:b w:val="false"/>
          <w:i w:val="false"/>
          <w:caps w:val="false"/>
          <w:smallCaps w:val="false"/>
          <w:sz w:val="20"/>
        </w:rPr>
        <w:t>”). The number of Restricted Stock Units subject to an Annual Award will be determined by dividing $175,000 by the closing price for the Company’s common stock on the applicable grant date. Each Annual Award shall be granted on the date of the applicable Annual Meeting and shall vest in full on the earlier to occur of (x) the one-year anniversary of the applicable grant date and (y) one day prior to the date of the next Annual Meeting following the grant date, subject to continued service through the applicable vesting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Accelerated Vesting Events</w:t>
      </w:r>
      <w:r>
        <w:rPr>
          <w:rFonts w:ascii="Times New Roman;Times;Serif" w:hAnsi="Times New Roman;Times;Serif"/>
          <w:b w:val="false"/>
          <w:i w:val="false"/>
          <w:caps w:val="false"/>
          <w:smallCaps w:val="false"/>
          <w:sz w:val="20"/>
        </w:rPr>
        <w:t>. Notwithstanding the foregoing, an Eligible Director’s Equity Award(s) shall vest in full immediately prior to the occurrence of a Change in Control or upon such Eligible Director’s Termination of Service due to the director’s death or Disability, to the extent outstanding at such time.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Compensation Limits</w:t>
      </w:r>
      <w:r>
        <w:rPr>
          <w:rFonts w:ascii="Times New Roman;Times;Serif" w:hAnsi="Times New Roman;Times;Serif"/>
          <w:b w:val="false"/>
          <w:i w:val="false"/>
          <w:caps w:val="false"/>
          <w:smallCaps w:val="false"/>
          <w:sz w:val="20"/>
        </w:rPr>
        <w:t>. Notwithstanding anything to the contrary in this Program, all compensation payable under this Program will be subject to any limits on the maximum amount of non-employee Director compensation set forth in the Equity Plan, as in effect from time to time.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right"/>
        <w:rPr>
          <w:rFonts w:ascii="Times New Roman;Times;Serif" w:hAnsi="Times New Roman;Times;Serif"/>
          <w:b/>
          <w:i w:val="false"/>
          <w:caps w:val="false"/>
          <w:smallCaps w:val="false"/>
          <w:sz w:val="20"/>
        </w:rPr>
      </w:pPr>
      <w:bookmarkStart w:id="68" w:name="ea028257401ex16-1.htm"/>
      <w:bookmarkStart w:id="69" w:name="ksea028257401ex161"/>
      <w:bookmarkEnd w:id="68"/>
      <w:bookmarkEnd w:id="69"/>
      <w:r>
        <w:rPr>
          <w:rFonts w:ascii="Times New Roman;Times;Serif" w:hAnsi="Times New Roman;Times;Serif"/>
          <w:b/>
          <w:i w:val="false"/>
          <w:caps w:val="false"/>
          <w:smallCaps w:val="false"/>
          <w:sz w:val="20"/>
        </w:rPr>
        <w:t>Exhibit 16.1</w:t>
      </w:r>
      <w:r>
        <w:br w:type="page"/>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the Chief Accountant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of Merlin, Inc. (f/k/a Inflection Point Acquisition Corp. IV) included under Item 4.01 of its Form 8-K dated March 20, 2026. We agree with the statements concerning our Firm under Item 4.01 of that Form 8-K. We are not in a position to agree or disagree with other statements contained therein.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WithumSmith+Brown, PC</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0" w:name="ea028257401ex21-1.htm"/>
      <w:bookmarkStart w:id="71" w:name="ksea028257401ex211"/>
      <w:bookmarkEnd w:id="70"/>
      <w:bookmarkEnd w:id="71"/>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Merlin, Inc.</w:t>
      </w:r>
    </w:p>
    <w:p>
      <w:pPr>
        <w:pStyle w:val="TextBody"/>
        <w:bidi w:val="0"/>
        <w:spacing w:before="0" w:after="0"/>
        <w:ind w:left="0" w:right="0" w:hanging="0"/>
        <w:jc w:val="center"/>
        <w:rPr>
          <w:caps w:val="false"/>
          <w:smallCaps w:val="false"/>
        </w:rPr>
      </w:pPr>
      <w:r>
        <w:rPr>
          <w:caps w:val="false"/>
          <w:smallCaps w:val="false"/>
        </w:rPr>
        <w:t> </w:t>
      </w:r>
    </w:p>
    <w:tbl>
      <w:tblPr>
        <w:tblW w:w="5320" w:type="dxa"/>
        <w:jc w:val="left"/>
        <w:tblInd w:w="0" w:type="dxa"/>
        <w:tblLayout w:type="fixed"/>
        <w:tblCellMar>
          <w:top w:w="0" w:type="dxa"/>
          <w:left w:w="0" w:type="dxa"/>
          <w:bottom w:w="28" w:type="dxa"/>
          <w:right w:w="0" w:type="dxa"/>
        </w:tblCellMar>
      </w:tblPr>
      <w:tblGrid>
        <w:gridCol w:w="2375"/>
        <w:gridCol w:w="60"/>
        <w:gridCol w:w="2885"/>
      </w:tblGrid>
      <w:tr>
        <w:trPr/>
        <w:tc>
          <w:tcPr>
            <w:tcW w:w="2375" w:type="dxa"/>
            <w:tcBorders>
              <w:bottom w:val="single" w:sz="12" w:space="0" w:color="000000"/>
            </w:tcBorders>
            <w:vAlign w:val="center"/>
          </w:tcPr>
          <w:p>
            <w:pPr>
              <w:pStyle w:val="TableContents"/>
              <w:bidi w:val="0"/>
              <w:spacing w:before="0" w:after="283"/>
              <w:jc w:val="center"/>
              <w:rPr>
                <w:b/>
              </w:rPr>
            </w:pPr>
            <w:r>
              <w:rPr>
                <w:b/>
              </w:rPr>
              <w:t>Name of Subsidiary</w:t>
            </w:r>
          </w:p>
        </w:tc>
        <w:tc>
          <w:tcPr>
            <w:tcW w:w="60" w:type="dxa"/>
            <w:tcBorders/>
            <w:tcMar>
              <w:bottom w:w="0" w:type="dxa"/>
            </w:tcMar>
            <w:vAlign w:val="center"/>
          </w:tcPr>
          <w:p>
            <w:pPr>
              <w:pStyle w:val="TableContents"/>
              <w:bidi w:val="0"/>
              <w:spacing w:before="0" w:after="283"/>
              <w:jc w:val="center"/>
              <w:rPr/>
            </w:pPr>
            <w:r>
              <w:rPr/>
              <w:t> </w:t>
            </w:r>
          </w:p>
        </w:tc>
        <w:tc>
          <w:tcPr>
            <w:tcW w:w="2885" w:type="dxa"/>
            <w:tcBorders>
              <w:bottom w:val="single" w:sz="12" w:space="0" w:color="000000"/>
            </w:tcBorders>
            <w:vAlign w:val="center"/>
          </w:tcPr>
          <w:p>
            <w:pPr>
              <w:pStyle w:val="TableContents"/>
              <w:bidi w:val="0"/>
              <w:spacing w:before="0" w:after="283"/>
              <w:jc w:val="center"/>
              <w:rPr>
                <w:b/>
              </w:rPr>
            </w:pPr>
            <w:r>
              <w:rPr>
                <w:b/>
              </w:rPr>
              <w:t>Jurisdiction of Organization</w:t>
            </w:r>
          </w:p>
        </w:tc>
      </w:tr>
      <w:tr>
        <w:trPr/>
        <w:tc>
          <w:tcPr>
            <w:tcW w:w="2375" w:type="dxa"/>
            <w:tcBorders/>
            <w:shd w:fill="CCEEFF" w:val="clear"/>
            <w:tcMar>
              <w:bottom w:w="0" w:type="dxa"/>
            </w:tcMar>
            <w:vAlign w:val="center"/>
          </w:tcPr>
          <w:p>
            <w:pPr>
              <w:pStyle w:val="TableContents"/>
              <w:bidi w:val="0"/>
              <w:spacing w:before="0" w:after="283"/>
              <w:jc w:val="center"/>
              <w:rPr/>
            </w:pPr>
            <w:r>
              <w:rPr/>
              <w:t>Merlin Labs, Inc.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885" w:type="dxa"/>
            <w:tcBorders/>
            <w:shd w:fill="CCEEFF" w:val="clear"/>
            <w:tcMar>
              <w:bottom w:w="0" w:type="dxa"/>
            </w:tcMar>
            <w:vAlign w:val="center"/>
          </w:tcPr>
          <w:p>
            <w:pPr>
              <w:pStyle w:val="TableContents"/>
              <w:bidi w:val="0"/>
              <w:spacing w:before="0" w:after="283"/>
              <w:jc w:val="center"/>
              <w:rPr/>
            </w:pPr>
            <w:r>
              <w:rPr/>
              <w:t>Delaware</w:t>
            </w:r>
          </w:p>
        </w:tc>
      </w:tr>
      <w:tr>
        <w:trPr/>
        <w:tc>
          <w:tcPr>
            <w:tcW w:w="2375" w:type="dxa"/>
            <w:tcBorders/>
            <w:shd w:fill="FFFFFF" w:val="clear"/>
            <w:tcMar>
              <w:bottom w:w="0" w:type="dxa"/>
            </w:tcMar>
            <w:vAlign w:val="center"/>
          </w:tcPr>
          <w:p>
            <w:pPr>
              <w:pStyle w:val="TableContents"/>
              <w:bidi w:val="0"/>
              <w:spacing w:before="0" w:after="283"/>
              <w:jc w:val="center"/>
              <w:rPr/>
            </w:pPr>
            <w:r>
              <w:rPr/>
              <w:t>Merlin Labs NZ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85" w:type="dxa"/>
            <w:tcBorders/>
            <w:shd w:fill="FFFFFF" w:val="clear"/>
            <w:tcMar>
              <w:bottom w:w="0" w:type="dxa"/>
            </w:tcMar>
            <w:vAlign w:val="center"/>
          </w:tcPr>
          <w:p>
            <w:pPr>
              <w:pStyle w:val="TableContents"/>
              <w:bidi w:val="0"/>
              <w:spacing w:before="0" w:after="283"/>
              <w:jc w:val="center"/>
              <w:rPr/>
            </w:pPr>
            <w:r>
              <w:rPr/>
              <w:t>New Zealand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2" w:name="ea028257401ex23-1.htm"/>
      <w:bookmarkStart w:id="73" w:name="ksea028257401ex231"/>
      <w:bookmarkEnd w:id="72"/>
      <w:bookmarkEnd w:id="73"/>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Current Report on Form 8-K, dated March 20, 2026, of our report dated March 12, 2026 which includes an explanatory paragraph relating to the Inflection Point Acquisition Corp. IV (f/k/a Bleichroeder Acquisition Corp. I) ability to continue as a going concern, relating to the financial statements of Inflection Point Acquisition Corp. IV (f/k/a Bleichroeder Acquisition Corp. I), as of December 31, 2025 and for the period from June 24, 2024 (Inception) through December 31, 2024, which is contained in this Current Report.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Brunswick, New Jersey</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4" w:name="ea028257401ex99-1.htm"/>
      <w:bookmarkStart w:id="75" w:name="ksea028257401ex991"/>
      <w:bookmarkEnd w:id="74"/>
      <w:bookmarkEnd w:id="7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730"/>
        <w:gridCol w:w="60"/>
        <w:gridCol w:w="140"/>
      </w:tblGrid>
      <w:tr>
        <w:trPr/>
        <w:tc>
          <w:tcPr>
            <w:tcW w:w="7730" w:type="dxa"/>
            <w:tcBorders/>
            <w:shd w:fill="CCEEFF" w:val="clear"/>
            <w:vAlign w:val="center"/>
          </w:tcPr>
          <w:p>
            <w:pPr>
              <w:pStyle w:val="TableContents"/>
              <w:bidi w:val="0"/>
              <w:spacing w:before="0" w:after="283"/>
              <w:jc w:val="left"/>
              <w:rPr/>
            </w:pPr>
            <w:hyperlink w:anchor="ex99-1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7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30" w:type="dxa"/>
            <w:tcBorders/>
            <w:shd w:fill="CCEEFF" w:val="clear"/>
            <w:vAlign w:val="center"/>
          </w:tcPr>
          <w:p>
            <w:pPr>
              <w:pStyle w:val="TableContents"/>
              <w:bidi w:val="0"/>
              <w:spacing w:before="0" w:after="283"/>
              <w:jc w:val="left"/>
              <w:rPr/>
            </w:pPr>
            <w:hyperlink w:anchor="ex99-1_002">
              <w:r>
                <w:rPr>
                  <w:rStyle w:val="InternetLink"/>
                  <w:rFonts w:ascii="Times New Roman;Times;Serif" w:hAnsi="Times New Roman;Times;Serif"/>
                  <w:b w:val="false"/>
                  <w:i w:val="false"/>
                  <w:caps w:val="false"/>
                  <w:smallCaps w:val="false"/>
                  <w:sz w:val="20"/>
                </w:rPr>
                <w:t>Consolidated Balance Sheets</w:t>
              </w:r>
            </w:hyperlink>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7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30" w:type="dxa"/>
            <w:tcBorders/>
            <w:shd w:fill="CCEEFF" w:val="clear"/>
            <w:vAlign w:val="center"/>
          </w:tcPr>
          <w:p>
            <w:pPr>
              <w:pStyle w:val="TableContents"/>
              <w:bidi w:val="0"/>
              <w:spacing w:before="0" w:after="283"/>
              <w:jc w:val="left"/>
              <w:rPr/>
            </w:pPr>
            <w:hyperlink w:anchor="ex99-1_003">
              <w:r>
                <w:rPr>
                  <w:rStyle w:val="InternetLink"/>
                  <w:rFonts w:ascii="Times New Roman;Times;Serif" w:hAnsi="Times New Roman;Times;Serif"/>
                  <w:b w:val="false"/>
                  <w:i w:val="false"/>
                  <w:caps w:val="false"/>
                  <w:smallCaps w:val="false"/>
                  <w:sz w:val="20"/>
                </w:rPr>
                <w:t>Consolidated Statements of Operations</w:t>
              </w:r>
            </w:hyperlink>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7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30" w:type="dxa"/>
            <w:tcBorders/>
            <w:shd w:fill="CCEEFF" w:val="clear"/>
            <w:vAlign w:val="center"/>
          </w:tcPr>
          <w:p>
            <w:pPr>
              <w:pStyle w:val="TableContents"/>
              <w:bidi w:val="0"/>
              <w:spacing w:before="0" w:after="283"/>
              <w:jc w:val="left"/>
              <w:rPr/>
            </w:pPr>
            <w:hyperlink w:anchor="ex99-1_004">
              <w:r>
                <w:rPr>
                  <w:rStyle w:val="InternetLink"/>
                  <w:rFonts w:ascii="Times New Roman;Times;Serif" w:hAnsi="Times New Roman;Times;Serif"/>
                  <w:b w:val="false"/>
                  <w:i w:val="false"/>
                  <w:caps w:val="false"/>
                  <w:smallCaps w:val="false"/>
                  <w:sz w:val="20"/>
                </w:rPr>
                <w:t>Consolidated Statements of Redeemable Convertible Preferred Stock and Stockholders’ Deficit</w:t>
              </w:r>
            </w:hyperlink>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7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30" w:type="dxa"/>
            <w:tcBorders/>
            <w:shd w:fill="CCEEFF" w:val="clear"/>
            <w:vAlign w:val="center"/>
          </w:tcPr>
          <w:p>
            <w:pPr>
              <w:pStyle w:val="TableContents"/>
              <w:bidi w:val="0"/>
              <w:spacing w:before="0" w:after="283"/>
              <w:jc w:val="left"/>
              <w:rPr/>
            </w:pPr>
            <w:hyperlink w:anchor="ex99-1_005">
              <w:r>
                <w:rPr>
                  <w:rStyle w:val="InternetLink"/>
                  <w:rFonts w:ascii="Times New Roman;Times;Serif" w:hAnsi="Times New Roman;Times;Serif"/>
                  <w:b w:val="false"/>
                  <w:i w:val="false"/>
                  <w:caps w:val="false"/>
                  <w:smallCaps w:val="false"/>
                  <w:sz w:val="20"/>
                </w:rPr>
                <w:t>Consolidated Statements of Cash Flows</w:t>
              </w:r>
            </w:hyperlink>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7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30" w:type="dxa"/>
            <w:tcBorders/>
            <w:shd w:fill="CCEEFF" w:val="clear"/>
            <w:vAlign w:val="center"/>
          </w:tcPr>
          <w:p>
            <w:pPr>
              <w:pStyle w:val="TableContents"/>
              <w:bidi w:val="0"/>
              <w:spacing w:before="0" w:after="283"/>
              <w:jc w:val="left"/>
              <w:rPr/>
            </w:pPr>
            <w:hyperlink w:anchor="ex99-1_006">
              <w:r>
                <w:rPr>
                  <w:rStyle w:val="InternetLink"/>
                  <w:rFonts w:ascii="Times New Roman;Times;Serif" w:hAnsi="Times New Roman;Times;Serif"/>
                  <w:b w:val="false"/>
                  <w:i w:val="false"/>
                  <w:caps w:val="false"/>
                  <w:smallCaps w:val="false"/>
                  <w:sz w:val="20"/>
                </w:rPr>
                <w:t>Notes to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6" w:name="ex99-1_001"/>
      <w:bookmarkEnd w:id="76"/>
      <w:r>
        <w:rPr>
          <w:rFonts w:ascii="Times New Roman;Times;Serif" w:hAnsi="Times New Roman;Times;Serif"/>
          <w:b w:val="false"/>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Merlin Labs, Inc. and Subsidiaries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Merlin Labs, Inc. and Subsidiaries (the “Company”) as of December 31, 2025 and 2024, the related consolidated statements of operations, redeemable convertible preferred stock and stockholders’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0" w:right="0" w:hanging="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900" w:right="0" w:hanging="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HORNE LLP)</w:t>
      </w:r>
    </w:p>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900" w:right="0" w:hanging="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900" w:right="0" w:hanging="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Ridgeland, Mississippi</w:t>
      </w:r>
    </w:p>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900" w:right="0" w:hanging="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7" w:name="ex99-1_002"/>
      <w:bookmarkEnd w:id="77"/>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73"/>
        <w:gridCol w:w="60"/>
        <w:gridCol w:w="140"/>
        <w:gridCol w:w="875"/>
        <w:gridCol w:w="95"/>
        <w:gridCol w:w="60"/>
        <w:gridCol w:w="140"/>
        <w:gridCol w:w="875"/>
        <w:gridCol w:w="87"/>
      </w:tblGrid>
      <w:tr>
        <w:trPr/>
        <w:tc>
          <w:tcPr>
            <w:tcW w:w="7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2"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r>
      <w:tr>
        <w:trPr/>
        <w:tc>
          <w:tcPr>
            <w:tcW w:w="7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102"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2024</w:t>
            </w:r>
          </w:p>
        </w:tc>
      </w:tr>
      <w:tr>
        <w:trPr/>
        <w:tc>
          <w:tcPr>
            <w:tcW w:w="7873"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1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gridSpan w:val="3"/>
            <w:tcBorders/>
            <w:vAlign w:val="center"/>
          </w:tcPr>
          <w:p>
            <w:pPr>
              <w:pStyle w:val="TableContents"/>
              <w:bidi w:val="0"/>
              <w:spacing w:before="0" w:after="283"/>
              <w:ind w:left="0" w:right="0" w:hanging="180"/>
              <w:jc w:val="right"/>
              <w:rPr/>
            </w:pPr>
            <w:r>
              <w:rPr/>
              <w:t> </w:t>
            </w:r>
          </w:p>
        </w:tc>
      </w:tr>
      <w:tr>
        <w:trPr/>
        <w:tc>
          <w:tcPr>
            <w:tcW w:w="7873"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59,343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37,195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536</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1,040</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Capitalized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70,931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39,148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8,589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1,348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80,582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49,194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b/>
              </w:rPr>
            </w:pPr>
            <w:r>
              <w:rPr>
                <w:b/>
              </w:rPr>
              <w:t>LIABILITIES, REDEEMABLE CONVERTIBLE PREFERRED STOCK, AND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1,294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2,683</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Long-term debt, current portion, net ($19,175 at fair value and $96 at amortized cost, net as of December 31, 2025 and $0 at fair value and $14,224 at amortized cost, net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14,224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Convertible promissory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112</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Contract loss provision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5,166</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709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64,299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24,188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Long-term debt, non-current portion, net ($12,207 at fair value and $577 at amortized cost, net as of December 31, 2025 and $0 at fair value and $21,673 at amortized cost, net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21,673</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653</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76,766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3,586</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154,180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50,100</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Commitments and contingencies (Note 14)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461,963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130,616</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Common stock: $0.0001 par value; 44,705,861 and 29,500,000 shares authorized; 5,306,250 and 5,169,812 shares issued and outstanding as of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873"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4,009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873"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(551,053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(135,532</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7873" w:type="dxa"/>
            <w:tcBorders/>
            <w:shd w:fill="FFFFFF" w:val="clear"/>
            <w:vAlign w:val="center"/>
          </w:tcPr>
          <w:p>
            <w:pPr>
              <w:pStyle w:val="TableContents"/>
              <w:bidi w:val="0"/>
              <w:spacing w:before="0" w:after="283"/>
              <w:jc w:val="left"/>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(535,561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(131,522</w:t>
            </w:r>
          </w:p>
        </w:tc>
        <w:tc>
          <w:tcPr>
            <w:tcW w:w="87" w:type="dxa"/>
            <w:tcBorders/>
            <w:shd w:fill="FFFFFF" w:val="clear"/>
            <w:vAlign w:val="center"/>
          </w:tcPr>
          <w:p>
            <w:pPr>
              <w:pStyle w:val="TableContents"/>
              <w:bidi w:val="0"/>
              <w:spacing w:before="0" w:after="283"/>
              <w:ind w:left="0" w:right="0" w:hanging="180"/>
              <w:jc w:val="left"/>
              <w:rPr/>
            </w:pPr>
            <w:r>
              <w:rPr/>
              <w:t>)</w:t>
            </w:r>
          </w:p>
        </w:tc>
      </w:tr>
      <w:tr>
        <w:trPr/>
        <w:tc>
          <w:tcPr>
            <w:tcW w:w="7873" w:type="dxa"/>
            <w:tcBorders/>
            <w:shd w:fill="CCEEFF" w:val="clear"/>
            <w:vAlign w:val="center"/>
          </w:tcPr>
          <w:p>
            <w:pPr>
              <w:pStyle w:val="TableContents"/>
              <w:bidi w:val="0"/>
              <w:spacing w:before="0" w:after="283"/>
              <w:jc w:val="left"/>
              <w:rPr/>
            </w:pPr>
            <w:r>
              <w:rPr/>
              <w:t>Total liabilities, redeemable convertible preferred stock,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80,582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49,194</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 w:name="ex99-1_003"/>
      <w:bookmarkEnd w:id="78"/>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950"/>
        <w:gridCol w:w="60"/>
        <w:gridCol w:w="158"/>
        <w:gridCol w:w="1112"/>
        <w:gridCol w:w="107"/>
        <w:gridCol w:w="68"/>
        <w:gridCol w:w="158"/>
        <w:gridCol w:w="1112"/>
        <w:gridCol w:w="110"/>
      </w:tblGrid>
      <w:tr>
        <w:trPr/>
        <w:tc>
          <w:tcPr>
            <w:tcW w:w="69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ind w:left="0" w:right="0" w:hanging="180"/>
              <w:jc w:val="left"/>
              <w:rPr/>
            </w:pPr>
            <w:r>
              <w:rPr/>
              <w:t> </w:t>
            </w:r>
          </w:p>
        </w:tc>
      </w:tr>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7,551</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1,229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5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9,182</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8,500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(1,631</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(7,271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95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32,477</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27,146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5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20,093</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17,864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1,318</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1,744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5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53,888</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46,754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(55,519</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(54,025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950"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1,443</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2,005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5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(2,957</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(2,420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95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(159</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(197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95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(2,357</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(265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950"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(7,563</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50" w:type="dxa"/>
            <w:tcBorders/>
            <w:shd w:fill="FFFFFF" w:val="clear"/>
            <w:vAlign w:val="center"/>
          </w:tcPr>
          <w:p>
            <w:pPr>
              <w:pStyle w:val="TableContents"/>
              <w:bidi w:val="0"/>
              <w:spacing w:before="0" w:after="283"/>
              <w:jc w:val="left"/>
              <w:rPr/>
            </w:pPr>
            <w:r>
              <w:rPr/>
              <w:t>Loss on exchange of warrant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(3,320</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Loss on issuance of financial instruments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(585</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50" w:type="dxa"/>
            <w:tcBorders/>
            <w:shd w:fill="FFFFFF" w:val="clear"/>
            <w:vAlign w:val="center"/>
          </w:tcPr>
          <w:p>
            <w:pPr>
              <w:pStyle w:val="TableContents"/>
              <w:bidi w:val="0"/>
              <w:spacing w:before="0" w:after="283"/>
              <w:jc w:val="left"/>
              <w:rPr/>
            </w:pPr>
            <w:r>
              <w:rPr/>
              <w:t>Loss on extinguishment of long-term debt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(2,157</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Change in fair value of long-term debt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(1,554</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50" w:type="dxa"/>
            <w:tcBorders/>
            <w:shd w:fill="FFFFFF" w:val="clear"/>
            <w:vAlign w:val="center"/>
          </w:tcPr>
          <w:p>
            <w:pPr>
              <w:pStyle w:val="TableContents"/>
              <w:bidi w:val="0"/>
              <w:spacing w:before="0" w:after="283"/>
              <w:jc w:val="left"/>
              <w:rPr/>
            </w:pPr>
            <w:r>
              <w:rPr/>
              <w:t>Total other expense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(19,209</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(877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950" w:type="dxa"/>
            <w:tcBorders/>
            <w:shd w:fill="CCEEFF" w:val="clear"/>
            <w:vAlign w:val="center"/>
          </w:tcPr>
          <w:p>
            <w:pPr>
              <w:pStyle w:val="TableContents"/>
              <w:bidi w:val="0"/>
              <w:spacing w:before="0" w:after="283"/>
              <w:jc w:val="left"/>
              <w:rPr/>
            </w:pPr>
            <w:r>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(74,728</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(54,902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950"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50</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351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(74,778</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(55,253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950" w:type="dxa"/>
            <w:tcBorders/>
            <w:shd w:fill="FFFFFF" w:val="clear"/>
            <w:vAlign w:val="center"/>
          </w:tcPr>
          <w:p>
            <w:pPr>
              <w:pStyle w:val="TableContents"/>
              <w:bidi w:val="0"/>
              <w:spacing w:before="0" w:after="283"/>
              <w:jc w:val="left"/>
              <w:rPr/>
            </w:pPr>
            <w:r>
              <w:rPr/>
              <w:t>Deemed dividend on exchange of 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(345,717</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pPr>
            <w:r>
              <w:rPr/>
              <w:t>(420,495</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pPr>
            <w:r>
              <w:rPr/>
              <w:t>(55,253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950" w:type="dxa"/>
            <w:tcBorders/>
            <w:shd w:fill="FFFFFF" w:val="clear"/>
            <w:vAlign w:val="center"/>
          </w:tcPr>
          <w:p>
            <w:pPr>
              <w:pStyle w:val="TableContents"/>
              <w:bidi w:val="0"/>
              <w:spacing w:before="0" w:after="283"/>
              <w:jc w:val="left"/>
              <w:rPr/>
            </w:pPr>
            <w:r>
              <w:rPr/>
              <w:t>Net loss per share: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(80.68</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(10.80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950" w:type="dxa"/>
            <w:tcBorders/>
            <w:shd w:fill="FFFFFF" w:val="clear"/>
            <w:vAlign w:val="center"/>
          </w:tcPr>
          <w:p>
            <w:pPr>
              <w:pStyle w:val="TableContents"/>
              <w:bidi w:val="0"/>
              <w:spacing w:before="0" w:after="283"/>
              <w:jc w:val="left"/>
              <w:rPr/>
            </w:pPr>
            <w:r>
              <w:rPr/>
              <w:t>Weighted-average shares outstanding:</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5,211,618</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5,118,223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9" w:name="ex99-1_004"/>
      <w:bookmarkEnd w:id="79"/>
      <w:r>
        <w:rPr>
          <w:rFonts w:ascii="Times New Roman;Times;Serif" w:hAnsi="Times New Roman;Times;Serif"/>
          <w:b/>
          <w:i w:val="false"/>
          <w:caps w:val="false"/>
          <w:smallCaps w:val="false"/>
          <w:sz w:val="20"/>
        </w:rPr>
        <w:t>CONSOLIDATED STATEMENTS OF REDEEMABLE CONVERTIBLE PREFERRED STOCK AND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380"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800"/>
        <w:gridCol w:w="95"/>
        <w:gridCol w:w="60"/>
        <w:gridCol w:w="65"/>
        <w:gridCol w:w="1065"/>
        <w:gridCol w:w="95"/>
        <w:gridCol w:w="60"/>
        <w:gridCol w:w="301"/>
        <w:gridCol w:w="559"/>
        <w:gridCol w:w="60"/>
        <w:gridCol w:w="60"/>
        <w:gridCol w:w="187"/>
        <w:gridCol w:w="913"/>
        <w:gridCol w:w="95"/>
        <w:gridCol w:w="60"/>
        <w:gridCol w:w="188"/>
        <w:gridCol w:w="1182"/>
        <w:gridCol w:w="95"/>
        <w:gridCol w:w="60"/>
        <w:gridCol w:w="195"/>
        <w:gridCol w:w="1220"/>
        <w:gridCol w:w="110"/>
      </w:tblGrid>
      <w:tr>
        <w:trPr/>
        <w:tc>
          <w:tcPr>
            <w:tcW w:w="134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2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Redeemable Convertible Preferred Stock</w:t>
            </w:r>
          </w:p>
        </w:tc>
        <w:tc>
          <w:tcPr>
            <w:tcW w:w="9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21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b/>
              </w:rPr>
            </w:pPr>
            <w:r>
              <w:rPr>
                <w:b/>
              </w:rPr>
              <w:t xml:space="preserve">Total </w:t>
            </w:r>
          </w:p>
        </w:tc>
        <w:tc>
          <w:tcPr>
            <w:tcW w:w="110" w:type="dxa"/>
            <w:tcBorders/>
            <w:vAlign w:val="center"/>
          </w:tcPr>
          <w:p>
            <w:pPr>
              <w:pStyle w:val="TableContents"/>
              <w:bidi w:val="0"/>
              <w:spacing w:before="0" w:after="283"/>
              <w:ind w:left="0" w:right="0" w:hanging="180"/>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Stockholders’</w:t>
              <w:br/>
              <w:t>Deficit</w:t>
            </w:r>
          </w:p>
        </w:tc>
        <w:tc>
          <w:tcPr>
            <w:tcW w:w="110" w:type="dxa"/>
            <w:tcBorders/>
            <w:vAlign w:val="center"/>
          </w:tcPr>
          <w:p>
            <w:pPr>
              <w:pStyle w:val="TableContents"/>
              <w:bidi w:val="0"/>
              <w:spacing w:before="0" w:after="283"/>
              <w:ind w:left="0" w:right="0" w:hanging="180"/>
              <w:jc w:val="center"/>
              <w:rPr/>
            </w:pPr>
            <w:r>
              <w:rPr/>
              <w:t> </w:t>
            </w:r>
          </w:p>
        </w:tc>
      </w:tr>
      <w:tr>
        <w:trPr/>
        <w:tc>
          <w:tcPr>
            <w:tcW w:w="1340" w:type="dxa"/>
            <w:tcBorders/>
            <w:shd w:fill="CCEEFF" w:val="clear"/>
            <w:vAlign w:val="center"/>
          </w:tcPr>
          <w:p>
            <w:pPr>
              <w:pStyle w:val="TableContents"/>
              <w:bidi w:val="0"/>
              <w:spacing w:before="0" w:after="283"/>
              <w:jc w:val="left"/>
              <w:rPr>
                <w:b/>
              </w:rPr>
            </w:pPr>
            <w:r>
              <w:rPr>
                <w:b/>
              </w:rPr>
              <w:t>Balances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17,696,748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130,616</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4,882,717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(80,279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(78,074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Vesting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206,250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Exercise of common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80,845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1,739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1,739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(55,253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(55,253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Balances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17,696,748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130,616</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shd w:fill="FFFFFF" w:val="clear"/>
            <w:tcMar>
              <w:bottom w:w="28" w:type="dxa"/>
            </w:tcMar>
            <w:vAlign w:val="center"/>
          </w:tcPr>
          <w:p>
            <w:pPr>
              <w:pStyle w:val="TableContents"/>
              <w:bidi w:val="0"/>
              <w:spacing w:before="0" w:after="283"/>
              <w:jc w:val="right"/>
              <w:rPr/>
            </w:pPr>
            <w:r>
              <w:rPr/>
              <w:t>5,169,812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shd w:fill="FFFFFF" w:val="clear"/>
            <w:tcMar>
              <w:bottom w:w="28" w:type="dxa"/>
            </w:tcMar>
            <w:vAlign w:val="center"/>
          </w:tcPr>
          <w:p>
            <w:pPr>
              <w:pStyle w:val="TableContents"/>
              <w:bidi w:val="0"/>
              <w:spacing w:before="0" w:after="283"/>
              <w:jc w:val="right"/>
              <w:rPr/>
            </w:pPr>
            <w:r>
              <w:rPr/>
              <w:t>4,009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pPr>
            <w:r>
              <w:rPr/>
              <w:t>(135,532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(131,522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Exercise of common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136,438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391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Deemed dividend on exchange of 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345,717</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(4,974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(340,743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(345,717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Conversion of Series A Prime redeemable convertible preferred stock 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(541,846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(14,370</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541,846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14,370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14,370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Forfeiture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(541,846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(74,778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(74,778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Balances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17,154,902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461,963</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shd w:fill="CCEEFF" w:val="clear"/>
            <w:tcMar>
              <w:bottom w:w="28" w:type="dxa"/>
            </w:tcMar>
            <w:vAlign w:val="center"/>
          </w:tcPr>
          <w:p>
            <w:pPr>
              <w:pStyle w:val="TableContents"/>
              <w:bidi w:val="0"/>
              <w:spacing w:before="0" w:after="283"/>
              <w:jc w:val="right"/>
              <w:rPr/>
            </w:pPr>
            <w:r>
              <w:rPr/>
              <w:t>5,306,250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pPr>
            <w:r>
              <w:rPr/>
              <w:t>15,491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pPr>
            <w:r>
              <w:rPr/>
              <w:t>(551,053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(535,561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0" w:name="ex99-1_005"/>
      <w:bookmarkEnd w:id="80"/>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firstLine="72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2"/>
        <w:gridCol w:w="60"/>
        <w:gridCol w:w="186"/>
        <w:gridCol w:w="1064"/>
        <w:gridCol w:w="125"/>
        <w:gridCol w:w="79"/>
        <w:gridCol w:w="186"/>
        <w:gridCol w:w="1004"/>
        <w:gridCol w:w="109"/>
      </w:tblGrid>
      <w:tr>
        <w:trPr/>
        <w:tc>
          <w:tcPr>
            <w:tcW w:w="739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09" w:type="dxa"/>
            <w:tcBorders/>
            <w:vAlign w:val="center"/>
          </w:tcPr>
          <w:p>
            <w:pPr>
              <w:pStyle w:val="TableContents"/>
              <w:bidi w:val="0"/>
              <w:spacing w:before="0" w:after="283"/>
              <w:ind w:left="0" w:right="0" w:hanging="180"/>
              <w:jc w:val="left"/>
              <w:rPr/>
            </w:pPr>
            <w:r>
              <w:rPr/>
              <w:t> </w:t>
            </w:r>
          </w:p>
        </w:tc>
      </w:tr>
      <w:tr>
        <w:trPr/>
        <w:tc>
          <w:tcPr>
            <w:tcW w:w="73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9" w:type="dxa"/>
            <w:tcBorders/>
            <w:vAlign w:val="center"/>
          </w:tcPr>
          <w:p>
            <w:pPr>
              <w:pStyle w:val="TableContents"/>
              <w:bidi w:val="0"/>
              <w:spacing w:before="0" w:after="283"/>
              <w:ind w:left="0" w:right="0" w:hanging="180"/>
              <w:jc w:val="left"/>
              <w:rPr/>
            </w:pPr>
            <w:r>
              <w:rPr/>
              <w:t> </w:t>
            </w:r>
          </w:p>
        </w:tc>
      </w:tr>
      <w:tr>
        <w:trPr/>
        <w:tc>
          <w:tcPr>
            <w:tcW w:w="7392"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(74,778</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(55,253</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392"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1,582</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1,466</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1,695</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1,739</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746</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568</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Non-cash interest expense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587</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179</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147</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2,357</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265</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7,563</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Loss on foreign currency exchange rate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281</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197</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Gain on early lease termination</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(1</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392" w:type="dxa"/>
            <w:tcBorders/>
            <w:shd w:fill="FFFFFF" w:val="clear"/>
            <w:vAlign w:val="center"/>
          </w:tcPr>
          <w:p>
            <w:pPr>
              <w:pStyle w:val="TableContents"/>
              <w:bidi w:val="0"/>
              <w:spacing w:before="0" w:after="283"/>
              <w:jc w:val="left"/>
              <w:rPr/>
            </w:pPr>
            <w:r>
              <w:rPr/>
              <w:t>Contract loss expense accrual</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1,451</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6,347</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Loss on exchange of warrant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3,320</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Loss on issuance of financial instruments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585</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Loss on extinguishment of long-term debt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2,157</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Change in fair value of long-term debt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(166</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168</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(519</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392"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(2,302</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455</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Capitalized transaction costs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(7,562</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(1,524</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25</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1,857</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(104</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392"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5,279</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882</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(112</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112</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Contract loss provision</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(2,444</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(1,181</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392"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(755</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shd w:fill="FFFFFF" w:val="clear"/>
            <w:tcMar>
              <w:bottom w:w="28" w:type="dxa"/>
            </w:tcMar>
            <w:vAlign w:val="center"/>
          </w:tcPr>
          <w:p>
            <w:pPr>
              <w:pStyle w:val="TableContents"/>
              <w:bidi w:val="0"/>
              <w:spacing w:before="0" w:after="283"/>
              <w:jc w:val="right"/>
              <w:rPr/>
            </w:pPr>
            <w:r>
              <w:rPr/>
              <w:t>(643</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392"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(59,868</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4" w:type="dxa"/>
            <w:tcBorders>
              <w:bottom w:val="single" w:sz="12" w:space="0" w:color="000000"/>
            </w:tcBorders>
            <w:shd w:fill="CCEEFF" w:val="clear"/>
            <w:tcMar>
              <w:bottom w:w="28" w:type="dxa"/>
            </w:tcMar>
            <w:vAlign w:val="center"/>
          </w:tcPr>
          <w:p>
            <w:pPr>
              <w:pStyle w:val="TableContents"/>
              <w:bidi w:val="0"/>
              <w:spacing w:before="0" w:after="283"/>
              <w:jc w:val="right"/>
              <w:rPr/>
            </w:pPr>
            <w:r>
              <w:rPr/>
              <w:t>(45,466</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3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Additions of property and equipment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064" w:type="dxa"/>
            <w:tcBorders/>
            <w:shd w:fill="FFFFFF" w:val="clear"/>
            <w:vAlign w:val="center"/>
          </w:tcPr>
          <w:p>
            <w:pPr>
              <w:pStyle w:val="TableContents"/>
              <w:bidi w:val="0"/>
              <w:spacing w:before="0" w:after="283"/>
              <w:jc w:val="right"/>
              <w:rPr/>
            </w:pPr>
            <w:r>
              <w:rPr/>
              <w:t>(427</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004" w:type="dxa"/>
            <w:tcBorders/>
            <w:shd w:fill="FFFFFF" w:val="clear"/>
            <w:vAlign w:val="center"/>
          </w:tcPr>
          <w:p>
            <w:pPr>
              <w:pStyle w:val="TableContents"/>
              <w:bidi w:val="0"/>
              <w:spacing w:before="0" w:after="283"/>
              <w:jc w:val="right"/>
              <w:rPr/>
            </w:pPr>
            <w:r>
              <w:rPr/>
              <w:t>(1,904</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392" w:type="dxa"/>
            <w:tcBorders/>
            <w:shd w:fill="CCEEFF" w:val="clear"/>
            <w:vAlign w:val="center"/>
          </w:tcPr>
          <w:p>
            <w:pPr>
              <w:pStyle w:val="TableContents"/>
              <w:bidi w:val="0"/>
              <w:spacing w:before="0" w:after="283"/>
              <w:jc w:val="left"/>
              <w:rPr/>
            </w:pPr>
            <w:r>
              <w:rPr/>
              <w:t>Proceeds from sales of property and equipment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15</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Maturities of short-term investments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44</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140</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Target Bridge Notes principal originated</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(2,250</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392" w:type="dxa"/>
            <w:tcBorders/>
            <w:shd w:fill="FFFFFF" w:val="clear"/>
            <w:vAlign w:val="center"/>
          </w:tcPr>
          <w:p>
            <w:pPr>
              <w:pStyle w:val="TableContents"/>
              <w:bidi w:val="0"/>
              <w:spacing w:before="0" w:after="283"/>
              <w:jc w:val="left"/>
              <w:rPr/>
            </w:pPr>
            <w:r>
              <w:rPr/>
              <w:t>Repayment of Target Bridge Notes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shd w:fill="FFFFFF" w:val="clear"/>
            <w:tcMar>
              <w:bottom w:w="28" w:type="dxa"/>
            </w:tcMar>
            <w:vAlign w:val="center"/>
          </w:tcPr>
          <w:p>
            <w:pPr>
              <w:pStyle w:val="TableContents"/>
              <w:bidi w:val="0"/>
              <w:spacing w:before="0" w:after="283"/>
              <w:jc w:val="right"/>
              <w:rPr/>
            </w:pPr>
            <w:r>
              <w:rPr/>
              <w:t>2,250</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(368</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4" w:type="dxa"/>
            <w:tcBorders>
              <w:bottom w:val="single" w:sz="12" w:space="0" w:color="000000"/>
            </w:tcBorders>
            <w:shd w:fill="CCEEFF" w:val="clear"/>
            <w:tcMar>
              <w:bottom w:w="28" w:type="dxa"/>
            </w:tcMar>
            <w:vAlign w:val="center"/>
          </w:tcPr>
          <w:p>
            <w:pPr>
              <w:pStyle w:val="TableContents"/>
              <w:bidi w:val="0"/>
              <w:spacing w:before="0" w:after="283"/>
              <w:jc w:val="right"/>
              <w:rPr/>
            </w:pPr>
            <w:r>
              <w:rPr/>
              <w:t>(1,764</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3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Proceeds from issuance of long-term debt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06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004" w:type="dxa"/>
            <w:tcBorders/>
            <w:shd w:fill="FFFFFF" w:val="clear"/>
            <w:vAlign w:val="center"/>
          </w:tcPr>
          <w:p>
            <w:pPr>
              <w:pStyle w:val="TableContents"/>
              <w:bidi w:val="0"/>
              <w:spacing w:before="0" w:after="283"/>
              <w:jc w:val="right"/>
              <w:rPr/>
            </w:pPr>
            <w:r>
              <w:rPr/>
              <w:t>34,378</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Proceeds from issuance of warrants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67,292</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496</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Proceeds from issuance of convertible promissory notes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20,413</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Repayments of long-term debt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(5,712</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(1,000</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392" w:type="dxa"/>
            <w:tcBorders/>
            <w:shd w:fill="FFFFFF" w:val="clear"/>
            <w:vAlign w:val="center"/>
          </w:tcPr>
          <w:p>
            <w:pPr>
              <w:pStyle w:val="TableContents"/>
              <w:bidi w:val="0"/>
              <w:spacing w:before="0" w:after="283"/>
              <w:jc w:val="left"/>
              <w:rPr/>
            </w:pPr>
            <w:r>
              <w:rPr/>
              <w:t>Proceeds from exercise of common stock options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391</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shd w:fill="FFFFFF" w:val="clear"/>
            <w:tcMar>
              <w:bottom w:w="28" w:type="dxa"/>
            </w:tcMar>
            <w:vAlign w:val="center"/>
          </w:tcPr>
          <w:p>
            <w:pPr>
              <w:pStyle w:val="TableContents"/>
              <w:bidi w:val="0"/>
              <w:spacing w:before="0" w:after="283"/>
              <w:jc w:val="right"/>
              <w:rPr/>
            </w:pPr>
            <w:r>
              <w:rPr/>
              <w:t>66</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82,384</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shd w:fill="CCEEFF" w:val="clear"/>
            <w:tcMar>
              <w:bottom w:w="28" w:type="dxa"/>
            </w:tcMar>
            <w:vAlign w:val="center"/>
          </w:tcPr>
          <w:p>
            <w:pPr>
              <w:pStyle w:val="TableContents"/>
              <w:bidi w:val="0"/>
              <w:spacing w:before="0" w:after="283"/>
              <w:jc w:val="right"/>
              <w:rPr/>
            </w:pPr>
            <w:r>
              <w:rPr/>
              <w:t>33,940</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22,148</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(13,290</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392" w:type="dxa"/>
            <w:tcBorders/>
            <w:shd w:fill="FFFFFF" w:val="clear"/>
            <w:vAlign w:val="center"/>
          </w:tcPr>
          <w:p>
            <w:pPr>
              <w:pStyle w:val="TableContents"/>
              <w:bidi w:val="0"/>
              <w:spacing w:before="0" w:after="283"/>
              <w:jc w:val="left"/>
              <w:rPr/>
            </w:pPr>
            <w:r>
              <w:rPr/>
              <w:t>Cash, and cash equivalents at beginning of year</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37,195</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shd w:fill="FFFFFF" w:val="clear"/>
            <w:tcMar>
              <w:bottom w:w="28" w:type="dxa"/>
            </w:tcMar>
            <w:vAlign w:val="center"/>
          </w:tcPr>
          <w:p>
            <w:pPr>
              <w:pStyle w:val="TableContents"/>
              <w:bidi w:val="0"/>
              <w:spacing w:before="0" w:after="283"/>
              <w:jc w:val="right"/>
              <w:rPr/>
            </w:pPr>
            <w:r>
              <w:rPr/>
              <w:t>50,485</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Cash, and cash equivalents at end of year</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59,343</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4" w:type="dxa"/>
            <w:tcBorders>
              <w:bottom w:val="double" w:sz="10" w:space="0" w:color="000000"/>
            </w:tcBorders>
            <w:shd w:fill="CCEEFF" w:val="clear"/>
            <w:tcMar>
              <w:bottom w:w="28" w:type="dxa"/>
            </w:tcMar>
            <w:vAlign w:val="center"/>
          </w:tcPr>
          <w:p>
            <w:pPr>
              <w:pStyle w:val="TableContents"/>
              <w:bidi w:val="0"/>
              <w:spacing w:before="0" w:after="283"/>
              <w:jc w:val="right"/>
              <w:rPr/>
            </w:pPr>
            <w:r>
              <w:rPr/>
              <w:t>37,195</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b/>
              </w:rPr>
            </w:pPr>
            <w:r>
              <w:rPr>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Cash paid during the year for:</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4,358</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1,586</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Taxes (Note 13)</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064" w:type="dxa"/>
            <w:tcBorders/>
            <w:shd w:fill="FFFFFF" w:val="clear"/>
            <w:vAlign w:val="center"/>
          </w:tcPr>
          <w:p>
            <w:pPr>
              <w:pStyle w:val="TableContents"/>
              <w:bidi w:val="0"/>
              <w:spacing w:before="0" w:after="283"/>
              <w:jc w:val="right"/>
              <w:rPr/>
            </w:pPr>
            <w:r>
              <w:rPr/>
              <w:t>50</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004" w:type="dxa"/>
            <w:tcBorders/>
            <w:shd w:fill="FFFFFF" w:val="clear"/>
            <w:vAlign w:val="center"/>
          </w:tcPr>
          <w:p>
            <w:pPr>
              <w:pStyle w:val="TableContents"/>
              <w:bidi w:val="0"/>
              <w:spacing w:before="0" w:after="283"/>
              <w:jc w:val="right"/>
              <w:rPr/>
            </w:pPr>
            <w:r>
              <w:rPr/>
              <w:t>237</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92"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379</w:t>
            </w:r>
          </w:p>
        </w:tc>
        <w:tc>
          <w:tcPr>
            <w:tcW w:w="12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842</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92" w:type="dxa"/>
            <w:tcBorders/>
            <w:shd w:fill="FFFFFF" w:val="clear"/>
            <w:vAlign w:val="center"/>
          </w:tcPr>
          <w:p>
            <w:pPr>
              <w:pStyle w:val="TableContents"/>
              <w:bidi w:val="0"/>
              <w:spacing w:before="0" w:after="283"/>
              <w:jc w:val="left"/>
              <w:rPr/>
            </w:pPr>
            <w:r>
              <w:rPr/>
              <w:t>Deemed dividend on exchange of 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064" w:type="dxa"/>
            <w:tcBorders/>
            <w:shd w:fill="FFFFFF" w:val="clear"/>
            <w:vAlign w:val="center"/>
          </w:tcPr>
          <w:p>
            <w:pPr>
              <w:pStyle w:val="TableContents"/>
              <w:bidi w:val="0"/>
              <w:spacing w:before="0" w:after="283"/>
              <w:jc w:val="right"/>
              <w:rPr/>
            </w:pPr>
            <w:r>
              <w:rPr/>
              <w:t>345,717</w:t>
            </w:r>
          </w:p>
        </w:tc>
        <w:tc>
          <w:tcPr>
            <w:tcW w:w="12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004"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1" w:name="ex99-1_006"/>
      <w:bookmarkEnd w:id="81"/>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 and 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Merlin Labs, Inc. was incorporated on October 10, 2018 as a Delaware corporation under the name Apollo Flight Research, Inc. and changed its name to Merlin Labs, Inc. on October 27, 2020. Merlin Labs, Inc. is the parent company of two wholly-owned subsidiaries: Merlin Labs NZ Limited (“MLNL”), a New Zealand limited company, was incorporated on August 17, 2020 and Merlin Labs Securities Corporation (“MLSC”), a Massachusetts Securities Corporation, was incorporated on December 13, 2022. Merlin Labs, Inc., together with its subsidiaries are herein referred to as “Merlin,” the “Company,” “we,” or “our”.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develops sophisticated software that fulfill the functions of a human pilot in self-flying aircraft to enable both reduced crew and unmanned flight. This technology is designed to be scalable and adaptable across different aircraft types for a growing range of aircraft platforms. The Company’s aircraft-agnostic, AI-powered software is purpose-built for military and civil programs, and is powering an expanding range of missions and aircraft, proven through hundreds of autonomous flights from test facilities across the globe.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the Company entered into a Business Combination Agreement (the “Business Combination Agreement” or “BCA”) with Bleichroeder Acquisition Corp. I, a Cayman Islands exempted company and Nasdaq-listed special purpose acquisition company (a “SPAC” and the “Purchaser”), and IPDX Merger Sub, Inc., a Delaware corporation and wholly owned subsidiary of the Purchaser (“Merger Sub”). On October 21, 2025, the Purchaser changed its name to Inflection Point Acquisition Corp. IV. Under the terms of the BCA, the Purchaser will domesticate as a Delaware corporation (the “Domestication”), and Merger Sub will merge with and into the Company, with the Company surviving the merger as a wholly owned subsidiary of the Purchaser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Domestication, the Company and Merger Sub will file a certificate of merger to consummate the Merger. Upon completion of the Merger, the combined company is expected to be publicly listed on the Nasdaq Stock Exchange, subject to regulatory approvals and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The accompanying consolidated financial statements include the accounts of Merlin Labs, Inc., and its consolidated subsidiaries, MLNL and MLSC.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U.S. GAAP assuming that the Company will continue as a going concern over the next twelve months. The going concern assumption contemplates the realization of assets and satisfaction of liabilities in the normal course of business, including having sufficient liquidity in the future to meet, among other things, the Company’s obligations under its borrowing arrangements (refer to Note 8.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inception, the Company has primarily operated in the pre-commercialization stage and funded historical losses through debt and equity financings. The Company expects to incur additional net losses while it continues to advance its commercialization efforts and pursue profit-generating revenue contracts with customers, namely, the United States (“U.S.”)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incurred net losses in the amounts of $74,778 and $55,253, respectively, and generated negative cash flows from operations in the amounts of $59,868 and $45,466, respectively. Additionally, as of December 31, 2025, the Company has an accumulated deficit in the amount of $551,053 and cash and cash equivalents of $59,343.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concluded in its consolidated financial statements for the nine months ended September 30, 2025, that there was substantial doubt about the Company’s ability to continue as a going concern due to the Company’s outstanding debt obligations and projected operating cash flows. On March 16, 2026, the Company completed its planned Merger (refer to Note 17. Subsequent Events). In connection with the Merger, the Company issued debt and equity-linked instruments in additional private investment in public entity (“PIPE”) transaction for $120,000 in gross proceeds and the Company’s outstanding convertible promissory notes converted into preferred stock and warrants to purchase common stock of the Company (refer to Note 8.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liquidity position as of December 31, 2025, the Company’s cash proceeds and debt conversion from the Merger, the Company’s current forecast of operating results and cash flows, and the Company’s outstanding debt obligations, the Company determined that its financial condition is sufficient to fund its planned operations, commitments, and contractual obligations for a period of at least one year following the date that these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certain estimates, judgments, and assumptions that affect the reported amounts of assets and liabilities, and the reported amounts of revenue and expenses during the reporting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estimates and assumptions made in the accompanying consolidated financial statements include, but are not limited to, the estimation of anticipated costs to complete a contract, the valuation and recognition of stock-based compensation awards, the valuation of warrant liabilities, the valuation of convertible promissory notes, and the valuation of redeemable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and judgments are based on historical experience, forecasted events, and various other assumptions that management believes to be reasonable under the circumstances. Actual results could differ from those estimates and such differences could be material to the Company’s consolidated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reviews financial information on a consolidated basis to make operating decisions, assess performance, and make resource allocation decisions, leading to decisions related to resource allocations in relation to profit and loss. Accordingly, the Company has determined that it has one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original maturities of three months or less when purchased to be cash equivalents, which includes money market mutual funds. The Company has a cash management program, which provides for the investment of excess cash balances primarily in money market mutual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determines the appropriate classification of investments in certificates of deposit at the time of purchase based upon management’s intent and ability with regard to such investments. For the periods presented, all investments have been classified as held to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investments as short-term when they have remaining contractual maturities of one year or less from the balance sheet date, and as long-term when the investments have remaining contractual maturities of more than one year from the balance sheet date. Investments are recorded at fair value, which approximates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Accounts Receivable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recorded at the original invoiced amount less an allowance for credit losses. An allowance for credit losses is determined based on historical loss experience, current conditions, and future expectations. Receivables are written off when deemed uncollectible. The Company uses the aging method to determine lifetime expected credit losses on accounts receivable, relying on historical loss experience adjusted for current conditions and future forecasts. Adjustments consider factors such as past due receivables, customer creditworthiness, changes in receivable terms, and external factors like competition and regulatory requirements. The Company pools receivables with similar risk characteristics for estimating expected credit losses and evaluates these pooling decisions periodically as risk characteristics change. For receivables not sharing similar risk characteristics, individual measurement is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allowance for credit losses is immaterial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consist primarily of cash, cash equivalents and accounts receivable. The Company maintains its cash and cash equivalents with accredited financial institutions in amounts which at times exceed federally insured limits. The Company monitors the credit standing of such financial institutions in order to limit credit risk. The Company has not experienced any losses on its cash and cash equivalents and believes it is not exposed to any significant losses due to credit risk on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generated $7,551 and $1,229 in revenue, with a significant amount (&gt; 90%) of this revenue coming from the U.S. government. As of December 31, 2025 and 2024, accounts receivable from the U.S. government totaled $368 and $536,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are unadjusted quoted prices for identical assets or liabilities in active markets that the Company has the ability to access.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include:</w:t>
      </w:r>
    </w:p>
    <w:p>
      <w:pPr>
        <w:pStyle w:val="TextBody"/>
        <w:bidi w:val="0"/>
        <w:spacing w:before="0" w:after="0"/>
        <w:ind w:left="1440" w:right="0" w:firstLine="36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Quoted prices for similar assets or liabilities in active markets;</w:t>
            </w:r>
          </w:p>
        </w:tc>
      </w:tr>
    </w:tbl>
    <w:p>
      <w:pPr>
        <w:pStyle w:val="TextBody"/>
        <w:bidi w:val="0"/>
        <w:spacing w:before="0" w:after="0"/>
        <w:ind w:left="1440" w:right="0" w:firstLine="36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Quoted prices for identical or similar assets or liabilities in inactive markets;</w:t>
            </w:r>
          </w:p>
        </w:tc>
      </w:tr>
    </w:tbl>
    <w:p>
      <w:pPr>
        <w:pStyle w:val="TextBody"/>
        <w:bidi w:val="0"/>
        <w:spacing w:before="0" w:after="0"/>
        <w:ind w:left="1440" w:right="0" w:firstLine="36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other than quoted prices that are observable for the asset or liability; and</w:t>
            </w:r>
          </w:p>
        </w:tc>
      </w:tr>
    </w:tbl>
    <w:p>
      <w:pPr>
        <w:pStyle w:val="TextBody"/>
        <w:bidi w:val="0"/>
        <w:spacing w:before="0" w:after="0"/>
        <w:ind w:left="2160" w:right="0" w:hanging="36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that are derived principally from or corroborated by observable market data by correlation or other means.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asset or liability has a specified (contractual) term, the Level 2 input must be observable for substantially the full term of the asset or liability.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are unobservable and significant to the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Depreciation is computed using the straight-line method over the estimated useful lives of the related assets, as follows:</w:t>
      </w:r>
    </w:p>
    <w:p>
      <w:pPr>
        <w:pStyle w:val="TextBody"/>
        <w:bidi w:val="0"/>
        <w:spacing w:before="0" w:after="0"/>
        <w:ind w:left="0" w:right="0" w:hanging="0"/>
        <w:jc w:val="both"/>
        <w:rPr>
          <w:caps w:val="false"/>
          <w:smallCaps w:val="false"/>
        </w:rPr>
      </w:pPr>
      <w:r>
        <w:rPr>
          <w:caps w:val="false"/>
          <w:smallCaps w:val="false"/>
        </w:rPr>
        <w:t> </w:t>
      </w:r>
    </w:p>
    <w:tbl>
      <w:tblPr>
        <w:tblW w:w="5545" w:type="dxa"/>
        <w:jc w:val="left"/>
        <w:tblInd w:w="0" w:type="dxa"/>
        <w:tblLayout w:type="fixed"/>
        <w:tblCellMar>
          <w:top w:w="0" w:type="dxa"/>
          <w:left w:w="0" w:type="dxa"/>
          <w:bottom w:w="28" w:type="dxa"/>
          <w:right w:w="0" w:type="dxa"/>
        </w:tblCellMar>
      </w:tblPr>
      <w:tblGrid>
        <w:gridCol w:w="2390"/>
        <w:gridCol w:w="60"/>
        <w:gridCol w:w="3095"/>
      </w:tblGrid>
      <w:tr>
        <w:trPr/>
        <w:tc>
          <w:tcPr>
            <w:tcW w:w="2390" w:type="dxa"/>
            <w:tcBorders>
              <w:bottom w:val="single" w:sz="1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Useful Life</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Aircraft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 years</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Aircraft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years</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years</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Lesser of the useful life or life of lease</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&amp;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years</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 vehicles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or contains, a lease at inception. An arrangement qualifies as a lease if it conveys the right to control the use of an identified asset for a period of time in exchange for consideration. Control is established if the Company has both the right to obtain substantially all of the economic benefits from the use of the asset and the right to direct the use of the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commencement date, the date on which the lessor makes the underlying asset available for use, leases are classified as either operating or finance leases based on their economic substance. Operating leases are presented in the consolidated balance sheets within operating lease right-of-use assets, net, operating lease liabilities, current, and operating lease liabilities, non-current. Finance leases, which are immaterial to the Company’s financial statements, are presented in the consolidated balance sheets within property and equipment, net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its estimated incremental borrowing rate, which is derived from information available at the lease commencement date, in determining the present value of lease payments. The Company gives consideration to its recent debt issuances as well as publicly available data for instruments with similar characteristics when determining its incremental borrowing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short-term leases, defined as leases with a term of twelve months or less, the Company elected the practical expedient to not recognize an associated lease liability and right-of-use asset. Lease payments for short-term leases are expensed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policy to not separate lease and nonlease components for all classes of underlying assets. Lease right-of-use assets also include any lease payments made at or before commencement date, net of lease incentives and initial direct costs incurred. Lease terms may include options to extend or terminate the lease when it is reasonably certain that the Company will exercise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aircraft, motor vehicles, and airport hangar space in the United States and New Zealand.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long-lived assets are reviewed by the Company for possible impairment annually or whenever events or changes in circumstances indicate that the carrying amount of an asset may not be recoverable. The Company measures recoverability of assets to be held and used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 of December 31, 2025 and 2024, the Company determined that there have been no significant events or changes in circumstances that would cause the impairment of any of the Company’s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apply the fair value method of accounting in accordance with Accounting Standards Codification (“ASC”) 825, Financial Instruments (“ASC 825”), for certain of its term debt instruments. The Company initially records term debt accounted for under the fair value option at fair value and subsequently remeasures such instruments to fair value on each balance sheet date thereafter. The change in fair value of term debt accounted for at fair value, together with interest accrued thereon, is recorded in change in fair value of long-term debt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term debt instruments not accounted for under the fair value method of accounting, the Company records such term debt obligations at amortized cost, net of any debt issuance costs, discounts, and premiums. Upon issuance, the Company evaluates whether identified embedded derivatives should be bifurcated and accounted for as a derivative at fair value under ASC 815, Derivatives and Hedging (“ASC 815”). Any embedded derivatives that meet the criteria for bifurcation and separate accounting are accounted for as a compound derivative recorded at fair value on the date of issuance and on each balance sheet date thereafter, with changes in fair value recorded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apply the fair value method of accounting in accordance with ASC 825 for certain of its convertible debt instruments. The Company records convertible debt accounted for under the fair value option at fair value upon the date of issuance and subsequently remeasures such instruments to fair value on each balance sheet date thereafter. The change in fair value of convertible debt accounted for at fair value, together with interest accrued thereon, is recorded in change in fair value of convertible promissory notes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convertible debt instruments not accounted for under the fair value method of accounting, the Company first assesses the balance sheet classification of its convertible debt instruments to determine whether the instrument should be classified as a liability under ASC 480, Distinguishing Liabilities from Equity (“ASC 480”). If convertible debt is not classified as a liability under ASC 480, the Company accounts for convertible debt in accordance with ASC 470-20, Debt with Conversion and Other Options, and ASC 815. Upon issuance, the Company evaluates whether the embedded conversion feature, as well as other identified embedded derivatives, should be bifurcated and accounted for as a derivative at fair value under ASC 815, and if not, whether any substantial premium must be recognized in additional paid-in capital. Any embedded derivatives that meet the criteria for bifurcation and separate accounting are accounted for as a compound derivative recorded at fair value on the date of issuance and on each balance sheet date thereafter, with changes in fair value recorded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connection with the issuance of debt instruments accounted for under the fair value method of accounting under ASC 825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connection with the issuance of debt instruments accounted for at amortized cost are recorded as a direct deduction against the associated debt liability, consistent with debt discounts. These costs are included in long-term debt, current portion, net and long-term debt, non-current portion, net in the Company’s consolidated balance sheet and are amortized over the life of the associated debt as a component of interest expense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included in ASC 480 and ASC 815. The assessment considers whether the warrants are freestanding financial instruments (if they were issued with another instrument) pursuant to ASC 480, whether the warrants meet the definition of a liability pursuant to ASC 480, and if not, whether the warrants meet the requirements for equity classification under ASC 815. This assessment requires the use of professional judgment and is conducted at issuance and as of each subsequent quarterly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that meet all of the criteria for equity classification are recorded at fair value as a component of additional paid-in capital at the time of issuance and are not subsequently remeasured. Warrants that do not meet all the criteria for equity classification are recorded at fair value on the date of issuance and on each balance sheet date thereafter as a component of warrant liabilities in the Company’s consolidated balance sheets. Changes in the estimated fair value of the warrants are non-cash gain or loss recognized in change in fair value of warrant liabilities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Redeemable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redeemable convertible preferred stock under ASC 480 to evaluate the classification of the redeemable convertible preferred stock. The Company’s redeemable convertible preferred stock does not require liability classification under ASC 480 and is classified in mezzanine equity as all classes may be subject to redemption upon the occurrence of an event that is not solely within the control of the Company. Upon issuance, the Company evaluates whether identified embedded derivatives should be bifurcated and accounted for as a derivative at fair value under ASC 815. The redeemable convertible preferred stock is initially recognized at the proceeds received, net of issuance costs and the fair value of any bifurcated derivatives, and is only subsequently remeasured to the extent it becomes currently redeemable or probable of becoming redeemable. Any embedded derivatives that meet the criteria for bifurcation and separate accounting are accounted for as a compound derivative recorded at fair value on the date of issuance and on each balance sheet date thereafter, with changes in fair value recorded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under its contracts with customers in accordance with ASC 606, Revenue from Contracts with Customers. The Company derives its revenues primarily through its engineering and autonomy development programs with U.S. government agencies, including the Federal Aviation Administration, U.S. Special Operations Command, and the U.S. Air Force. These contracts focus on the design, demonstration, and integration of autonomous flight technologies. The Company also engages in limited commercial activities with foreign and private sector customers, including aviation advisory services in New Zealand.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under various contract types, including firm-fixed-price, cost-plus-fixed-fee, and cost-share arrangements. These contracts are structured to support research and development efforts, prototype demonstrations, and system integration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goods and services provided is transferred to the Company’s customers and in an amount that reflects the consideration the Company expects to be entitled to in exchange for those goods and services using the following steps: 1) identification of the contract or contracts with a customer, 2) identification of performance obligations in the contract, 3) determination of the transaction price, 4) allocation of the transaction price to the performance obligations in the contract and 5) recognition of revenue when or as the Company satisfies the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 consists of comprehensive engineering and development programs rather than distinct deliverables. Supporting activities such as system engineering, airworthiness certification, and technical data packages are not considered separate performance obligations, as they are highly interrelated and collectively contribute to the overarching deliverable. The Company provides engineering data and insights that inform the customer’s broader autonomy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with U.S. government entities are governed by the Federal Acquisition Regulation, which defines allowable costs and pricing methodologies. Each contract is individually negotiated and variable consideration may arise in cost-share arrangements, where the Company is reimbursed for a portion of actual costs incurred, subject to a contractual ceiling. The Company includes variable consideration in the transaction price only when it is probable that a significant revenue reversal will not occur. Pricing for non-government customers, including commercial and foreign entities, is determined through direct negotiation. The Company’s contracts generally do not contain significant financing components, and taxes collected are excluded from the transaction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on its engineering and development contracts with the U.S. government primarily over time, as control of the services is continuously transferred throughout the performance period. This continuous transfer is supported by standard U.S. government contract clauses, including the right to terminate for convenience and the obligation to reimburse the contractor for costs incurred plus reasonable compensation. These provisions, along with the customer’s ability to benefit from the work-in-progress through monthly deliverables and technical reports, support over-time revenue recognition. The Company bills its customers on a monthly basis as services are provided throughout the contract. For these contracts, the Company generally uses a method that measures the extent of progress towards completion of the performance obligation, principally using a cost incurred input method. Under this method, revenue is recognized based on the proportion of total costs incurred to estimated total costs-at-completion. Anticipated losses on cost-share contracts are recognized in accordance with ASC 605-35 when total estimated costs are expected to exceed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contract for which the total estimated costs is expected to exceed the total estimated revenue, a loss arises, and a provision for the entire loss is recorded in the period that it becomes evident. The unrecoverable costs on a loss contract that are expected to be incurred are recorded as expense in cost of revenue in the consolidated statements of operations and a provision is recorded in contract loss provision in the consolidated balance sheets. As costs related to the loss contract are incurred, the contract loss provision in the consolidated balance sheets is reduced. The Company recorded net losses related to contracts with customers of $1,451 and $6,347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Contract Assets and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customer billings and cash collections for each contract results in a net contract asset or deferred revenue liability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consist of unbilled receivables, which is the amount of revenue recognized that exceeds the amount billed to the customer. Contract liabilities consist of deferred revenue, which represents cash advances received prior to performance for programs and billings in excess of revenue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primarily includes salaries, stock-based compensation expense, and benefits for personnel involved in performing operations, and professional services, as well as subcontractor expenses, field-service representatives, hardware costs, travel costs, allocated overhead, and other direct costs. Cost of revenue also includes provisions for loss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personnel-related costs for the Company’s development team, including salaries, benefits, bonuses, stock-based compensation expenses and allocated overhead costs. Research and development expenses also include contractor or professional service fees and software services dedicated for use by the Company’s research and development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enter into research and development agreements with third-parties where the Company will be paid for research and development activities. The amounts received under these agreements are recorded as a reduction to research and development expense in the consolidated statements of operations. The Company recorded $450 and $0 as a reduction to research and development expense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personnel-related costs for the Company’s sales and marketing staff, including salaries, benefits, bonuses, commissions, stock-based compensation, and allocated overhead costs. Sales and marketing expenses also include advertising costs and other expenses associated with the Company’s marketing and business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incurred. During the years ended December 31, 2025 and 2024, the Company incurred advertising expense in the amounts of $1,238 and $1,328,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of personnel-related costs associated with the Company’s finance, legal, human resources and administrative personnel, including salaries, benefits, bonuses, stock-based compensation and allocated overhead costs. General and administrative expenses also include external legal, accounting, professional services fees, software services dedicated for use by the Company’s general and administrative functions, insurance, and other corporate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on awards granted under the Merlin Labs 2018 Equity Incentive Plan (“the Plan”). These awards include incentive stock options (“ISOs”) granted to employees as well as nonqualified stock options (“NSOs”) or restricted stock awards (“RSUs”) granted to directors, consultants, employees, and officers of the Company. In addition to the Plan, the Company has historically issued common stock warrants to a vendor as compensation for services provided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is recorded for awards issued to employees and nonemployees using the fair value method with a corresponding increase in additional paid-in capital in the consolidated balance sheets. The Company recognizes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Plan, these awards generally vest over a four-year period, subject to the terms set forth in individual grant agreements and the discretion of the Plan administrator. Stock-based compensation awards are measured at the grant date fair value with compensation expense recognized on a straight-line basis over the requisite vesting period of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Capitalized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transaction costs primarily consist of legal and accounting costs incurred that are direct and incremental to the Company’s planned Merger. Upon the completion of the planned Merger, capitalized transaction costs will be netted against the proceeds from the Merger and recorded as an offset to stockholders’ deficit. During the year ended December 31, 2025, the Company </w:t>
      </w:r>
      <w:r>
        <w:rPr>
          <w:rFonts w:ascii="Times New Roman;Times;Serif" w:hAnsi="Times New Roman;Times;Serif"/>
          <w:b w:val="false"/>
          <w:i w:val="false"/>
          <w:caps w:val="false"/>
          <w:smallCaps w:val="false"/>
          <w:sz w:val="20"/>
          <w:shd w:fill="FFFFFF" w:val="clear"/>
        </w:rPr>
        <w:t xml:space="preserve">capitalized </w:t>
      </w:r>
      <w:r>
        <w:rPr>
          <w:rFonts w:ascii="Times New Roman;Times;Serif" w:hAnsi="Times New Roman;Times;Serif"/>
          <w:b w:val="false"/>
          <w:i w:val="false"/>
          <w:caps w:val="false"/>
          <w:smallCaps w:val="false"/>
          <w:sz w:val="20"/>
        </w:rPr>
        <w:t xml:space="preserve">$7,562 </w:t>
      </w:r>
      <w:r>
        <w:rPr>
          <w:rFonts w:ascii="Times New Roman;Times;Serif" w:hAnsi="Times New Roman;Times;Serif"/>
          <w:b w:val="false"/>
          <w:i w:val="false"/>
          <w:caps w:val="false"/>
          <w:smallCaps w:val="false"/>
          <w:sz w:val="20"/>
          <w:shd w:fill="FFFFFF" w:val="clear"/>
        </w:rPr>
        <w:t xml:space="preserve">of transaction costs in </w:t>
      </w:r>
      <w:r>
        <w:rPr>
          <w:rFonts w:ascii="Times New Roman;Times;Serif" w:hAnsi="Times New Roman;Times;Serif"/>
          <w:b w:val="false"/>
          <w:i w:val="false"/>
          <w:caps w:val="false"/>
          <w:smallCaps w:val="false"/>
          <w:sz w:val="20"/>
        </w:rPr>
        <w:t>capitalized transaction costs on the consolidated balance sheets. In the event the planned Merger is terminated, the capitalized transaction costs will be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its current tax expense together with assessing temporary differences resulting from differing treatment of items not currently deductible for tax purposes. These differences result in deferred tax assets and liabilities on the Company’s consolidated balance sheets, which are estimated based upon the difference between the financial statement and tax bases of assets and liabilities using the enacted tax rates that will be in effect when these differences reverse. In general, deferred tax assets represent future tax benefits to be received when certain expenses previously recognized in the Company’s consolidated statements of operations become deductible expenses under applicable income tax laws or loss or credit carryforwards are utilized. Accordingly, the realization of the Company’s deferred tax assets is dependent on future taxable income against which these deductions, losses, and credits can be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realizability of its deferred tax assets on an annual basis. The Company records a valuation allowance when, based on the weight of available evidence, it expects future taxable income is not likely to support the use of a deduction or credit in that jurisdiction. If certain factors change and the Company determines that the deferred tax assets are realizable at a more-likely-than not level, it will adjust the valuation allowance in the period the determination is made. Changes in the valuation allowance, when recorded, would be included in the Company’s consolidated statements of operations. Management’s judgment is required in determining the Company’s valuation allowance recorded against its net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settlement. The Company recognizes interest and penalties related to uncertain tax positions, if any, in its provision for income taxes. No such interest or penalties were recognized during the periods presented and the Company had no accruals for interest and penalties as of December 31, 2025 and 2024. The Company is subject to the Global Intangible Low Taxed Income (“GILTI”) tax in the U.S. and has elected to treat taxes on future GILTI inclusions as current period expense if and when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basic and diluted net loss per share using the two-class method. Under the two-class method, earnings are allocated to common stock and participating securities according to their participation rights in dividends and undistributed earnings. The Company’s net loss is fully attributable to its common stockholders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two-class method, basic net loss per share attributable to common stockholders is computed by dividing the net loss attributable to common stockholders by the weighted average number of shares of common stock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attributable to common stockholders adjusts basic earnings (loss) per share for the potentially dilutive impact of redeemable convertible preferred stock, restricted stock, stock options, common stock warrants, preferred stock warrants, and debt conversion features. As the Company has reported losses for all periods presented and all potentially dilutive securities are anti-dilutive, basic net loss per share equaled diluted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Fair Value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there has been no public market for our common stock, the estimated fair value of our common stock has been determined by the Board of Directors through the use of an annual valuation report prepared by an independent third-party specialist, supplemented by the Board’s and management’s assessments of any material changes between the valuation date and the date of each option grant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 hybrid method that is a combination of the probability-weighted expected return and option-pricing method when determining the fair value of the common stock. The hybrid method incorporates the weighted probability of multiple liquidity scenarios based on the probability of the scenario’s occurrence, while also utilizing the option-pricing method to estimate the allocation of value in one or more of the scenarios. Key inputs include volatility, a discount rate, a discount for lack of marketability, and the liquidity event scenario probability.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considering the results of the independent third-party valuations, our Board of Directors considers various objective and subjective factors when determining if the fair value of the common stock has changed between the valuation date and grant date including actual operating performance and financial results, current business conditions and projections, the market performance of comparable publicly traded companies, and the U.S. and global capital market conditions and may adjust the valuation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foreign operations related to MLNL are remeasured from New Zealand Dollars (“NZD”) into U.S. dollars. The remeasurement is based on the determination that the U.S. dollar is the functional currency of MLNL. Monetary assets and liabilities of MLNL’s foreign operations are remeasured into U.S. dollars at year-end exchange rates and nonmonetary assets, liabilities and equity accounts are remeasured using historical exchange rates. Income statement accounts are remeasured at the weighted average exchange rate prevailing during the year. During the years ended December 31, 2025 and 2024, the Company recognized foreign currency exchange losses of $281 and $197,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Financial Accounting Standards Board (“FASB”) issued Accounting Standards Update (“ASU”) 2020-06, Debt - Debt with Conversion and Other Options and Derivatives and Hedging - Contracts in Entity’s Own Equity, which simplifies the accounting for convertible instruments. We adopted this standard effective on January 1, 2024, the beginning of the fiscal year ended December 31, 2024, and adoption did not have a material effect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which requires disclosure of incremental segment information on an annual and interim basis. This standard is effective for fiscal years beginning after December 15, 2023, and interim periods within fiscal years beginning after December 15, 2024, and requires retrospective application to all prior periods presented in the financial statements. The Company adopted the guidance during the year ended December 31, 2024, and applied it retrospectively to the periods presented. Refer to Note 15. Segment and Geographic Information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 Improvements to Income Tax Disclosures,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The Company adopted the guidance during the year ended December 31, 2025 on a prospective basis. Refer to Note 13. Income Taxes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which requires the disclosure of additional information about specific expense categories in the notes to the consolidated financial statements on an annual and interim basis. The standard is effective for fiscal years beginning after December 15, 2026, and interim periods within fiscal years beginning after December 15, 2027 on either a prospective or retrospective basis, with early adoption permitted. The Company is currently evaluating the impacts of the new standard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Revenue Recognition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revenues by customer-type. These categories represent how the nature, timing and uncertainty of revenues and cash flows are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Disaggregated revenues by customer-type were as follows:</w:t>
      </w:r>
    </w:p>
    <w:p>
      <w:pPr>
        <w:pStyle w:val="TextBody"/>
        <w:bidi w:val="0"/>
        <w:spacing w:before="0" w:after="0"/>
        <w:ind w:left="0" w:right="0" w:hanging="0"/>
        <w:jc w:val="both"/>
        <w:rPr>
          <w:caps w:val="false"/>
          <w:smallCaps w:val="false"/>
        </w:rPr>
      </w:pPr>
      <w:r>
        <w:rPr>
          <w:caps w:val="false"/>
          <w:smallCaps w:val="false"/>
        </w:rPr>
        <w:t> </w:t>
      </w:r>
    </w:p>
    <w:tbl>
      <w:tblPr>
        <w:tblW w:w="7568" w:type="dxa"/>
        <w:jc w:val="left"/>
        <w:tblInd w:w="0" w:type="dxa"/>
        <w:tblLayout w:type="fixed"/>
        <w:tblCellMar>
          <w:top w:w="0" w:type="dxa"/>
          <w:left w:w="0" w:type="dxa"/>
          <w:bottom w:w="0" w:type="dxa"/>
          <w:right w:w="0" w:type="dxa"/>
        </w:tblCellMar>
      </w:tblPr>
      <w:tblGrid>
        <w:gridCol w:w="4715"/>
        <w:gridCol w:w="60"/>
        <w:gridCol w:w="250"/>
        <w:gridCol w:w="1002"/>
        <w:gridCol w:w="107"/>
        <w:gridCol w:w="107"/>
        <w:gridCol w:w="250"/>
        <w:gridCol w:w="1002"/>
        <w:gridCol w:w="75"/>
      </w:tblGrid>
      <w:tr>
        <w:trPr/>
        <w:tc>
          <w:tcPr>
            <w:tcW w:w="47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ind w:left="0" w:right="0" w:hanging="180"/>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4715" w:type="dxa"/>
            <w:tcBorders/>
            <w:shd w:fill="CCEEFF" w:val="clear"/>
            <w:vAlign w:val="center"/>
          </w:tcPr>
          <w:p>
            <w:pPr>
              <w:pStyle w:val="TableContents"/>
              <w:bidi w:val="0"/>
              <w:spacing w:before="0" w:after="283"/>
              <w:jc w:val="left"/>
              <w:rPr/>
            </w:pPr>
            <w:r>
              <w:rPr/>
              <w:t>U.S. government agencies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7,342</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1,145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715" w:type="dxa"/>
            <w:tcBorders/>
            <w:shd w:fill="FFFFFF" w:val="clear"/>
            <w:vAlign w:val="center"/>
          </w:tcPr>
          <w:p>
            <w:pPr>
              <w:pStyle w:val="TableContents"/>
              <w:bidi w:val="0"/>
              <w:spacing w:before="0" w:after="283"/>
              <w:jc w:val="left"/>
              <w:rPr/>
            </w:pPr>
            <w:r>
              <w:rPr/>
              <w:t>Commercial and non-U.S. government customers</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209</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71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CCEEFF" w:val="clear"/>
            <w:tcMar>
              <w:bottom w:w="28" w:type="dxa"/>
            </w:tcMar>
            <w:vAlign w:val="center"/>
          </w:tcPr>
          <w:p>
            <w:pPr>
              <w:pStyle w:val="TableContents"/>
              <w:bidi w:val="0"/>
              <w:spacing w:before="0" w:after="283"/>
              <w:jc w:val="right"/>
              <w:rPr/>
            </w:pPr>
            <w:r>
              <w:rPr/>
              <w:t>7,551</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CCEEFF" w:val="clear"/>
            <w:tcMar>
              <w:bottom w:w="28" w:type="dxa"/>
            </w:tcMar>
            <w:vAlign w:val="center"/>
          </w:tcPr>
          <w:p>
            <w:pPr>
              <w:pStyle w:val="TableContents"/>
              <w:bidi w:val="0"/>
              <w:spacing w:before="0" w:after="283"/>
              <w:jc w:val="right"/>
              <w:rPr/>
            </w:pPr>
            <w:r>
              <w:rPr/>
              <w:t>1,229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New Zealand during the twelve months ended December 31, 2025 and 2024 amounted to $209 and $84,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revenue recognized during the years ended December 31, 2025 and 2024 was related to performance obligations satisfied in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aggregate amount of the transaction price allocated to the remaining performance o</w:t>
      </w:r>
      <w:r>
        <w:rPr>
          <w:rFonts w:ascii="Times New Roman;Times;Serif" w:hAnsi="Times New Roman;Times;Serif"/>
          <w:b w:val="false"/>
          <w:i w:val="false"/>
          <w:caps w:val="false"/>
          <w:smallCaps w:val="false"/>
          <w:sz w:val="20"/>
          <w:shd w:fill="FFFFFF" w:val="clear"/>
        </w:rPr>
        <w:t xml:space="preserve">bligations was $7,469, all of which will be recognized over the next 12 months. Although remaining performance obligations reflect business that is </w:t>
      </w:r>
      <w:r>
        <w:rPr>
          <w:rFonts w:ascii="Times New Roman;Times;Serif" w:hAnsi="Times New Roman;Times;Serif"/>
          <w:b w:val="false"/>
          <w:i w:val="false"/>
          <w:caps w:val="false"/>
          <w:smallCaps w:val="false"/>
          <w:sz w:val="20"/>
        </w:rPr>
        <w:t>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contract balances:</w:t>
      </w:r>
    </w:p>
    <w:p>
      <w:pPr>
        <w:pStyle w:val="TextBody"/>
        <w:bidi w:val="0"/>
        <w:spacing w:before="0" w:after="0"/>
        <w:ind w:left="0" w:right="0" w:hanging="0"/>
        <w:jc w:val="both"/>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360"/>
        <w:gridCol w:w="60"/>
        <w:gridCol w:w="140"/>
        <w:gridCol w:w="560"/>
        <w:gridCol w:w="60"/>
        <w:gridCol w:w="60"/>
        <w:gridCol w:w="140"/>
        <w:gridCol w:w="560"/>
        <w:gridCol w:w="60"/>
        <w:gridCol w:w="60"/>
        <w:gridCol w:w="175"/>
        <w:gridCol w:w="325"/>
        <w:gridCol w:w="75"/>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21</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Unbilled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32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Contract loss provision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4,173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5,166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32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during the year ended December 31, 2025 from amounts included in deferred revenue at the beginning of the period was $112. There was no revenue recognized during the year ended December 31, 2024 from amounts included in deferred revenue at the beginning of the period. The increase in unbilled receivables from December 31, 2024 to December 31, 2025 represents revenue earned and recognized during year ended December 31, 2025 for which the Company has not invoiced the customer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measured at fair value on a recurring basis and indicates the fair value hierarchy of the valuation as follows:</w:t>
      </w:r>
    </w:p>
    <w:p>
      <w:pPr>
        <w:pStyle w:val="TextBody"/>
        <w:bidi w:val="0"/>
        <w:spacing w:before="0" w:after="0"/>
        <w:ind w:left="0" w:right="0" w:hanging="0"/>
        <w:jc w:val="both"/>
        <w:rPr>
          <w:caps w:val="false"/>
          <w:smallCaps w:val="false"/>
        </w:rPr>
      </w:pPr>
      <w:r>
        <w:rPr>
          <w:caps w:val="false"/>
          <w:smallCaps w:val="false"/>
        </w:rPr>
        <w:t> </w:t>
      </w:r>
    </w:p>
    <w:tbl>
      <w:tblPr>
        <w:tblW w:w="7584" w:type="dxa"/>
        <w:jc w:val="left"/>
        <w:tblInd w:w="0" w:type="dxa"/>
        <w:tblLayout w:type="fixed"/>
        <w:tblCellMar>
          <w:top w:w="0" w:type="dxa"/>
          <w:left w:w="0" w:type="dxa"/>
          <w:bottom w:w="0" w:type="dxa"/>
          <w:right w:w="0" w:type="dxa"/>
        </w:tblCellMar>
      </w:tblPr>
      <w:tblGrid>
        <w:gridCol w:w="3635"/>
        <w:gridCol w:w="60"/>
        <w:gridCol w:w="140"/>
        <w:gridCol w:w="680"/>
        <w:gridCol w:w="60"/>
        <w:gridCol w:w="60"/>
        <w:gridCol w:w="263"/>
        <w:gridCol w:w="491"/>
        <w:gridCol w:w="60"/>
        <w:gridCol w:w="60"/>
        <w:gridCol w:w="140"/>
        <w:gridCol w:w="800"/>
        <w:gridCol w:w="60"/>
        <w:gridCol w:w="60"/>
        <w:gridCol w:w="140"/>
        <w:gridCol w:w="800"/>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Cash equivalents: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Money market mutual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56,695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56,695</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56,695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56,695</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2024 LSA Loans,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b/>
              </w:rPr>
            </w:pPr>
            <w:r>
              <w:rPr>
                <w:b/>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19,175</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Convertible promissory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29,107</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2024 LSA Loans, 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12,207</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76,766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76,766</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137,255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137,255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349" w:type="dxa"/>
        <w:jc w:val="left"/>
        <w:tblInd w:w="0" w:type="dxa"/>
        <w:tblLayout w:type="fixed"/>
        <w:tblCellMar>
          <w:top w:w="0" w:type="dxa"/>
          <w:left w:w="0" w:type="dxa"/>
          <w:bottom w:w="0" w:type="dxa"/>
          <w:right w:w="0" w:type="dxa"/>
        </w:tblCellMar>
      </w:tblPr>
      <w:tblGrid>
        <w:gridCol w:w="2705"/>
        <w:gridCol w:w="60"/>
        <w:gridCol w:w="140"/>
        <w:gridCol w:w="680"/>
        <w:gridCol w:w="60"/>
        <w:gridCol w:w="60"/>
        <w:gridCol w:w="263"/>
        <w:gridCol w:w="491"/>
        <w:gridCol w:w="60"/>
        <w:gridCol w:w="60"/>
        <w:gridCol w:w="151"/>
        <w:gridCol w:w="604"/>
        <w:gridCol w:w="60"/>
        <w:gridCol w:w="60"/>
        <w:gridCol w:w="140"/>
        <w:gridCol w:w="680"/>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2024</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Cash equivalents: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Money market mutual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29,773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29,773</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29,773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29,773</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4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single" w:sz="12" w:space="0" w:color="000000"/>
            </w:tcBorders>
            <w:shd w:fill="FFFFFF" w:val="clear"/>
            <w:tcMar>
              <w:bottom w:w="28" w:type="dxa"/>
            </w:tcMar>
            <w:vAlign w:val="center"/>
          </w:tcPr>
          <w:p>
            <w:pPr>
              <w:pStyle w:val="TableContents"/>
              <w:bidi w:val="0"/>
              <w:spacing w:before="0" w:after="283"/>
              <w:jc w:val="right"/>
              <w:rPr/>
            </w:pPr>
            <w:r>
              <w:rPr/>
              <w:t>3,586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3,586</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10" w:space="0" w:color="000000"/>
            </w:tcBorders>
            <w:shd w:fill="CCEEFF" w:val="clear"/>
            <w:tcMar>
              <w:bottom w:w="28" w:type="dxa"/>
            </w:tcMar>
            <w:vAlign w:val="center"/>
          </w:tcPr>
          <w:p>
            <w:pPr>
              <w:pStyle w:val="TableContents"/>
              <w:bidi w:val="0"/>
              <w:spacing w:before="0" w:after="283"/>
              <w:jc w:val="right"/>
              <w:rPr/>
            </w:pPr>
            <w:r>
              <w:rPr/>
              <w:t>3,586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3,586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for cash equivalents are based on quoted market prices in active markets. There have been no changes in the fair value methodologies used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periods prior to December 31, 2024, fair value measurements for preferred stock warrant liabilities were estimated using an option pricing approach embedded within a Monte Carlo simulation using Level 3 inputs. The Monte Carlo simulation simulates the Company’s equity value from each respective valuation date to the expected financing event date, incorporating breakpoints at which various equity classes participate in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relevant assumptions were used in determining the fair value of the preferred stock warrant liabilities (refer to Note 9. Warrants) as of December 31, 2024:</w:t>
      </w:r>
    </w:p>
    <w:p>
      <w:pPr>
        <w:pStyle w:val="TextBody"/>
        <w:bidi w:val="0"/>
        <w:spacing w:before="0" w:after="0"/>
        <w:ind w:left="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630"/>
        <w:gridCol w:w="60"/>
        <w:gridCol w:w="238"/>
        <w:gridCol w:w="1717"/>
        <w:gridCol w:w="75"/>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Equity value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717" w:type="dxa"/>
            <w:tcBorders/>
            <w:shd w:fill="CCEEFF" w:val="clear"/>
            <w:vAlign w:val="center"/>
          </w:tcPr>
          <w:p>
            <w:pPr>
              <w:pStyle w:val="TableContents"/>
              <w:bidi w:val="0"/>
              <w:spacing w:before="0" w:after="283"/>
              <w:jc w:val="right"/>
              <w:rPr/>
            </w:pPr>
            <w:r>
              <w:rPr/>
              <w:t>309,613</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Expected financing amount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1717" w:type="dxa"/>
            <w:tcBorders/>
            <w:shd w:fill="FFFFFF" w:val="clear"/>
            <w:vAlign w:val="center"/>
          </w:tcPr>
          <w:p>
            <w:pPr>
              <w:pStyle w:val="TableContents"/>
              <w:bidi w:val="0"/>
              <w:spacing w:before="0" w:after="283"/>
              <w:jc w:val="right"/>
              <w:rPr/>
            </w:pPr>
            <w:r>
              <w:rPr/>
              <w:t>100,000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Expected financing date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7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5/31/2025</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Expected liquidity event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7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12/31/2026</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Equity volatility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7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50.0-60.0 %</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7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4.20-4.24%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periods after December 31, 2024, and in contemplation of the anticipated Merger, fair value measurements for warrant liabilities and convertible promissory notes (refer to Note 8. Debt and Note 9. Warrants) were estimated using a probability-weighted expected return method, considering scenarios in which the Merger does or does not occur. In all scenarios, the fair value of Pre-PIPE Bridge and Pre-Funded PIPE Notes and Warrants were determined by calibrating the aggregate fair value of instruments issued, as implied by the probability-weighted expected return method, to the proceeds received in each issuance therefrom in accordance with ASC 825, resulting in a calibrated discount rate of 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scenario in which the Merger does not occur, the fair value of the 2019 LSA Warrants, 2021 LSA Warrants, and 2024 LSA Warrants were estimated using an option pricing approach embedded within a Monte Carlo simulation. The Monte Carlo simulation simulates the Company’s equity value from each respective valuation date to the expected financing event date, incorporating breakpoints at which various equity classes participate in distributions. In the scenario in which the Merger occurs, the fair value of the 2019 LSA Warrants, 2021 LSA Warrants, and 2024 LSA Warrants were estimated using a common stock equivalent method which incorporates the expected capital structure and distribution of proceeds in a public company context and allocated value among the Company’s equity classes assuming the Company successfully completes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both scenarios, the fair value of the 2024 LSA Amendment Warrants were estimated using a discounted cash flow method, calculating the present value of future cash flows based on the contractual terms thereof at the calibrated discount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both scenarios, the fair value of the Pre-PIPE Bridge Notes and Pre-Funded PIPE Notes were estimated using a discounted cash flow method, calculating the present value of future cash flows based on the contractual terms of such instruments at the calibrated discount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scenario in which the Merger does not occur, the fair value of the Pre-PIPE Bridge Warrants and Pre-Funded PIPE Warrants were estimated using an option pricing approach embedded within a lattice model. The lattice model simulates the Company’s equity value from each respective valuation date to the expected financing event date, incorporating breakpoints at which various equity classes participate in distributions. In the scenario in which the Merger occurs, the fair value of the Pre-PIPE Bridge Warrants and Pre-Funded PIPE Warrants were estimated using the Black-Scholes option pricing formula.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relevant assumptions were used in determining the fair value of the warrant liabilities and convertible promissory notes as of December 31, 2025:</w:t>
      </w:r>
    </w:p>
    <w:p>
      <w:pPr>
        <w:pStyle w:val="TextBody"/>
        <w:bidi w:val="0"/>
        <w:spacing w:before="0" w:after="0"/>
        <w:ind w:left="0" w:right="0" w:hanging="0"/>
        <w:jc w:val="both"/>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4850"/>
        <w:gridCol w:w="60"/>
        <w:gridCol w:w="210"/>
        <w:gridCol w:w="1205"/>
        <w:gridCol w:w="23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3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Non-Merger scenario - Equity value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647,000</w:t>
            </w:r>
          </w:p>
        </w:tc>
        <w:tc>
          <w:tcPr>
            <w:tcW w:w="23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Non-Merger scenario - Expected financing amount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150,000</w:t>
            </w:r>
          </w:p>
        </w:tc>
        <w:tc>
          <w:tcPr>
            <w:tcW w:w="23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Non-Merger scenario - Expected financing date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6/30/2026</w:t>
            </w:r>
          </w:p>
        </w:tc>
        <w:tc>
          <w:tcPr>
            <w:tcW w:w="23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Non-Merger scenario - Expected liquidity event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9/30/2028</w:t>
            </w:r>
          </w:p>
        </w:tc>
        <w:tc>
          <w:tcPr>
            <w:tcW w:w="23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Non-Merger scenario - Equity volatility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60.0%-75.0</w:t>
            </w:r>
          </w:p>
        </w:tc>
        <w:tc>
          <w:tcPr>
            <w:tcW w:w="230" w:type="dxa"/>
            <w:tcBorders/>
            <w:shd w:fill="CCEEFF" w:val="clear"/>
            <w:vAlign w:val="center"/>
          </w:tcPr>
          <w:p>
            <w:pPr>
              <w:pStyle w:val="TableContents"/>
              <w:bidi w:val="0"/>
              <w:spacing w:before="0" w:after="283"/>
              <w:jc w:val="left"/>
              <w:rPr/>
            </w:pPr>
            <w:r>
              <w:rPr/>
              <w:t>%</w:t>
            </w:r>
          </w:p>
        </w:tc>
      </w:tr>
      <w:tr>
        <w:trPr/>
        <w:tc>
          <w:tcPr>
            <w:tcW w:w="4850" w:type="dxa"/>
            <w:tcBorders/>
            <w:shd w:fill="FFFFFF" w:val="clear"/>
            <w:vAlign w:val="center"/>
          </w:tcPr>
          <w:p>
            <w:pPr>
              <w:pStyle w:val="TableContents"/>
              <w:bidi w:val="0"/>
              <w:spacing w:before="0" w:after="283"/>
              <w:jc w:val="left"/>
              <w:rPr/>
            </w:pPr>
            <w:r>
              <w:rPr/>
              <w:t>Merger scenario - Expected Merger date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3/31/2026</w:t>
            </w:r>
          </w:p>
        </w:tc>
        <w:tc>
          <w:tcPr>
            <w:tcW w:w="23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Merger scenario - Stock price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10.72</w:t>
            </w:r>
          </w:p>
        </w:tc>
        <w:tc>
          <w:tcPr>
            <w:tcW w:w="23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Merger scenario - Equity volatility</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70.0</w:t>
            </w:r>
          </w:p>
        </w:tc>
        <w:tc>
          <w:tcPr>
            <w:tcW w:w="230" w:type="dxa"/>
            <w:tcBorders/>
            <w:shd w:fill="FFFFFF" w:val="clear"/>
            <w:vAlign w:val="center"/>
          </w:tcPr>
          <w:p>
            <w:pPr>
              <w:pStyle w:val="TableContents"/>
              <w:bidi w:val="0"/>
              <w:spacing w:before="0" w:after="283"/>
              <w:jc w:val="left"/>
              <w:rPr/>
            </w:pPr>
            <w:r>
              <w:rPr/>
              <w:t>%</w:t>
            </w:r>
          </w:p>
        </w:tc>
      </w:tr>
      <w:tr>
        <w:trPr/>
        <w:tc>
          <w:tcPr>
            <w:tcW w:w="4850" w:type="dxa"/>
            <w:tcBorders/>
            <w:shd w:fill="CCEEFF" w:val="clear"/>
            <w:vAlign w:val="center"/>
          </w:tcPr>
          <w:p>
            <w:pPr>
              <w:pStyle w:val="TableContents"/>
              <w:bidi w:val="0"/>
              <w:spacing w:before="0" w:after="283"/>
              <w:jc w:val="left"/>
              <w:rPr/>
            </w:pPr>
            <w:r>
              <w:rPr/>
              <w:t>Calibrated discount rate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500.0</w:t>
            </w:r>
          </w:p>
        </w:tc>
        <w:tc>
          <w:tcPr>
            <w:tcW w:w="230" w:type="dxa"/>
            <w:tcBorders/>
            <w:shd w:fill="CCEEFF" w:val="clear"/>
            <w:vAlign w:val="center"/>
          </w:tcPr>
          <w:p>
            <w:pPr>
              <w:pStyle w:val="TableContents"/>
              <w:bidi w:val="0"/>
              <w:spacing w:before="0" w:after="283"/>
              <w:jc w:val="left"/>
              <w:rPr/>
            </w:pPr>
            <w:r>
              <w:rPr/>
              <w:t>%</w:t>
            </w:r>
          </w:p>
        </w:tc>
      </w:tr>
      <w:tr>
        <w:trPr/>
        <w:tc>
          <w:tcPr>
            <w:tcW w:w="485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3.44%-4.78</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for the 2024 LSA Loans (refer to Note 8. Debt) were estimated using a discounted cash flow method and a lattice model. The lattice model was used to estimate the fair value measurement impact of various share- and cash-settled redemption features which only apply to a portion of the outstanding principal amount of 2024 LSA Loans and the discounted cash flow method was used to estimate the fair value measurement impact of the principal amount of 2024 LSA Loans not subject to such redemption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relevant assumptions were used in determining the fair value of the 2024 LSA Loans as of December 31, 2025:</w:t>
      </w:r>
    </w:p>
    <w:p>
      <w:pPr>
        <w:pStyle w:val="TextBody"/>
        <w:bidi w:val="0"/>
        <w:spacing w:before="0" w:after="0"/>
        <w:ind w:left="0" w:right="0" w:hanging="0"/>
        <w:jc w:val="both"/>
        <w:rPr>
          <w:caps w:val="false"/>
          <w:smallCaps w:val="false"/>
        </w:rPr>
      </w:pPr>
      <w:r>
        <w:rPr>
          <w:caps w:val="false"/>
          <w:smallCaps w:val="false"/>
        </w:rPr>
        <w:t> </w:t>
      </w:r>
    </w:p>
    <w:tbl>
      <w:tblPr>
        <w:tblW w:w="8130" w:type="dxa"/>
        <w:jc w:val="left"/>
        <w:tblInd w:w="0" w:type="dxa"/>
        <w:tblLayout w:type="fixed"/>
        <w:tblCellMar>
          <w:top w:w="0" w:type="dxa"/>
          <w:left w:w="0" w:type="dxa"/>
          <w:bottom w:w="0" w:type="dxa"/>
          <w:right w:w="0" w:type="dxa"/>
        </w:tblCellMar>
      </w:tblPr>
      <w:tblGrid>
        <w:gridCol w:w="6425"/>
        <w:gridCol w:w="60"/>
        <w:gridCol w:w="283"/>
        <w:gridCol w:w="1132"/>
        <w:gridCol w:w="230"/>
      </w:tblGrid>
      <w:tr>
        <w:trPr/>
        <w:tc>
          <w:tcPr>
            <w:tcW w:w="642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30" w:type="dxa"/>
            <w:tcBorders/>
            <w:vAlign w:val="center"/>
          </w:tcPr>
          <w:p>
            <w:pPr>
              <w:pStyle w:val="TableContents"/>
              <w:bidi w:val="0"/>
              <w:spacing w:before="0" w:after="283"/>
              <w:ind w:left="0" w:right="0" w:hanging="180"/>
              <w:jc w:val="left"/>
              <w:rPr/>
            </w:pPr>
            <w:r>
              <w:rPr/>
              <w:t> </w:t>
            </w:r>
          </w:p>
        </w:tc>
      </w:tr>
      <w:tr>
        <w:trPr/>
        <w:tc>
          <w:tcPr>
            <w:tcW w:w="6425" w:type="dxa"/>
            <w:tcBorders/>
            <w:shd w:fill="CCEEFF" w:val="clear"/>
            <w:vAlign w:val="center"/>
          </w:tcPr>
          <w:p>
            <w:pPr>
              <w:pStyle w:val="TableContents"/>
              <w:bidi w:val="0"/>
              <w:spacing w:before="0" w:after="283"/>
              <w:jc w:val="left"/>
              <w:rPr/>
            </w:pPr>
            <w:r>
              <w:rPr/>
              <w:t>Fair value of Series B Prime 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29.39</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425" w:type="dxa"/>
            <w:tcBorders/>
            <w:shd w:fill="FFFFFF" w:val="clear"/>
            <w:vAlign w:val="center"/>
          </w:tcPr>
          <w:p>
            <w:pPr>
              <w:pStyle w:val="TableContents"/>
              <w:bidi w:val="0"/>
              <w:spacing w:before="0" w:after="283"/>
              <w:jc w:val="left"/>
              <w:rPr/>
            </w:pPr>
            <w:r>
              <w:rPr/>
              <w:t>Equity volatility</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75.0</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425" w:type="dxa"/>
            <w:tcBorders/>
            <w:shd w:fill="CCEEFF" w:val="clear"/>
            <w:vAlign w:val="center"/>
          </w:tcPr>
          <w:p>
            <w:pPr>
              <w:pStyle w:val="TableContents"/>
              <w:bidi w:val="0"/>
              <w:spacing w:before="0" w:after="283"/>
              <w:jc w:val="left"/>
              <w:rPr/>
            </w:pPr>
            <w:r>
              <w:rPr/>
              <w:t>Credit rating</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CCC-</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425" w:type="dxa"/>
            <w:tcBorders/>
            <w:shd w:fill="FFFFFF" w:val="clear"/>
            <w:vAlign w:val="center"/>
          </w:tcPr>
          <w:p>
            <w:pPr>
              <w:pStyle w:val="TableContents"/>
              <w:bidi w:val="0"/>
              <w:spacing w:before="0" w:after="283"/>
              <w:jc w:val="left"/>
              <w:rPr/>
            </w:pPr>
            <w:r>
              <w:rPr/>
              <w:t>Discount rate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19.7</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fair value measurement activity, using unobservable inputs and associated unrealized losses (gains) with respect to warrant liabilities outstanding during the years ended December 31, 2025 and 2024 were as follows:</w:t>
      </w:r>
    </w:p>
    <w:p>
      <w:pPr>
        <w:pStyle w:val="TextBody"/>
        <w:bidi w:val="0"/>
        <w:spacing w:before="0" w:after="0"/>
        <w:ind w:left="0" w:right="0" w:hanging="0"/>
        <w:jc w:val="both"/>
        <w:rPr>
          <w:caps w:val="false"/>
          <w:smallCaps w:val="false"/>
        </w:rPr>
      </w:pPr>
      <w:r>
        <w:rPr>
          <w:caps w:val="false"/>
          <w:smallCaps w:val="false"/>
        </w:rPr>
        <w:t> </w:t>
      </w:r>
    </w:p>
    <w:tbl>
      <w:tblPr>
        <w:tblW w:w="4455" w:type="dxa"/>
        <w:jc w:val="left"/>
        <w:tblInd w:w="0" w:type="dxa"/>
        <w:tblLayout w:type="fixed"/>
        <w:tblCellMar>
          <w:top w:w="0" w:type="dxa"/>
          <w:left w:w="0" w:type="dxa"/>
          <w:bottom w:w="0" w:type="dxa"/>
          <w:right w:w="0" w:type="dxa"/>
        </w:tblCellMar>
      </w:tblPr>
      <w:tblGrid>
        <w:gridCol w:w="3425"/>
        <w:gridCol w:w="60"/>
        <w:gridCol w:w="146"/>
        <w:gridCol w:w="714"/>
        <w:gridCol w:w="11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Fair value as of December 31, 2023</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2,825</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Issuance of warrants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496</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265</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Fair value as of December 31, 2024</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714" w:type="dxa"/>
            <w:tcBorders/>
            <w:shd w:fill="FFFFFF" w:val="clear"/>
            <w:vAlign w:val="center"/>
          </w:tcPr>
          <w:p>
            <w:pPr>
              <w:pStyle w:val="TableContents"/>
              <w:bidi w:val="0"/>
              <w:spacing w:before="0" w:after="283"/>
              <w:jc w:val="right"/>
              <w:rPr/>
            </w:pPr>
            <w:r>
              <w:rPr/>
              <w:t>3,586</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Issuance of warrants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72,592</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Exchange of warrants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(1,769</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2,357</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Fair value as of December 31, 2025</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pPr>
            <w:r>
              <w:rPr/>
              <w:t>76,766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fair value measurement activity, using unobservable inputs and associated unrealized losses (gains) with respect to convertible promissory notes outstanding during the year ended December 31, 2025 were as follows:</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4985"/>
        <w:gridCol w:w="60"/>
        <w:gridCol w:w="146"/>
        <w:gridCol w:w="714"/>
        <w:gridCol w:w="75"/>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Fair value as of December 31, 2024</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Issuance of convertible promissory notes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21,544</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7,563</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Fair value as of December 31, 2025</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pPr>
            <w:r>
              <w:rPr/>
              <w:t>29,107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fair value measurement activity, using unobservable inputs and associated unrealized losses (gains) with respect to 2024 LSA Loans outstanding during the year ended December 31, 2025 were as follows:</w:t>
      </w:r>
    </w:p>
    <w:p>
      <w:pPr>
        <w:pStyle w:val="TextBody"/>
        <w:bidi w:val="0"/>
        <w:spacing w:before="0" w:after="0"/>
        <w:ind w:left="0" w:right="0" w:hanging="0"/>
        <w:jc w:val="both"/>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4835"/>
        <w:gridCol w:w="60"/>
        <w:gridCol w:w="146"/>
        <w:gridCol w:w="714"/>
        <w:gridCol w:w="110"/>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Fair value as of December 31, 2024</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Recognition at fair value at extinguishment date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31,549</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Non-cash change in fair value of 2024 LSA Loans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(166</w:t>
            </w:r>
          </w:p>
        </w:tc>
        <w:tc>
          <w:tcPr>
            <w:tcW w:w="110" w:type="dxa"/>
            <w:tcBorders/>
            <w:shd w:fill="CCEEFF" w:val="clear"/>
            <w:vAlign w:val="center"/>
          </w:tcPr>
          <w:p>
            <w:pPr>
              <w:pStyle w:val="TableContents"/>
              <w:bidi w:val="0"/>
              <w:spacing w:before="0" w:after="283"/>
              <w:jc w:val="left"/>
              <w:rPr/>
            </w:pPr>
            <w:r>
              <w:rPr/>
              <w:t>)</w:t>
            </w:r>
          </w:p>
        </w:tc>
      </w:tr>
      <w:tr>
        <w:trPr/>
        <w:tc>
          <w:tcPr>
            <w:tcW w:w="4835" w:type="dxa"/>
            <w:tcBorders/>
            <w:shd w:fill="FFFFFF" w:val="clear"/>
            <w:vAlign w:val="center"/>
          </w:tcPr>
          <w:p>
            <w:pPr>
              <w:pStyle w:val="TableContents"/>
              <w:bidi w:val="0"/>
              <w:spacing w:before="0" w:after="283"/>
              <w:jc w:val="left"/>
              <w:rPr/>
            </w:pPr>
            <w:r>
              <w:rPr/>
              <w:t>Fair value as of December 31, 2025</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pPr>
            <w:r>
              <w:rPr/>
              <w:t>31,383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Target Bridge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7, 2024, the Company and a third party target entity executed a term sheet which established the general terms of a potential acquisition of the target by the Company, including the establishment of a binding 60-day exclusivity period during which period the target was prohibited from negotiating, discussing, or entering into any other alternative transaction. In connection with the signing of the term sheet and to finance the target’s ongoing operations prior to the consummation of the potential acquisition, the Company extended a bridge financing facility with an aggregate commitment amount of $3,000 to the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June 2024 and July 2024, the Company originated $2,250 of aggregate principal amount of bridge notes to the target (“Target Bridge Notes”). The Target Bridge Notes accrued interest at a rate equal to the higher of (a) 6.0% and (b) the then-current Applicable Federal Rate. The Target Bridge Notes were scheduled to mature upon the earlier of (a) 30 days following the end of the exclusivity period and (b) the closing of the proposed acquisition. At the maturity thereof, the Target Bridge Notes would be settled as a dollar-for-dollar reduction in the closing purchase price in the proposed acquisition. Additionally, if the proposed acquisition did not close, the Target Bridge Notes remained outstanding, and the target consummated any sale or other exit event, the Company would be entitled to receive two times the sum of Target Bridge Notes principal amount outstanding plus accrued unpaid interest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2024, the target notified the Company that it was no longer pursuing an acquisition by the Company. In August 2024, the Company became aware that the former target violated the binding terms outlined in the term sheet and other agreements entered into therefrom. As a result, the former target repaid the outstanding principal amount of Target Bridge Notes of $2,250, plus accrued interest thereon, on September 3, 2024. The Company did not pursue litigation against the former target and did not receive any termination fees or penalty payments in connection with the breach of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3245"/>
        <w:gridCol w:w="60"/>
        <w:gridCol w:w="140"/>
        <w:gridCol w:w="680"/>
        <w:gridCol w:w="60"/>
        <w:gridCol w:w="60"/>
        <w:gridCol w:w="140"/>
        <w:gridCol w:w="680"/>
        <w:gridCol w:w="7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Aircraft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6,194</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Aircraft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4,681</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515</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394</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Office furniture &amp;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315</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Motor vehicles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85</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Total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12,184</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3,595</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7,108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8,589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December 31, 2025 and 2024 amounted to $1,582 and $1,466,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aircraft, and airport hangar space under noncancelable operating lease agreements, which require escalating monthly rental payments plus related operating costs and expire on various dates through 2033. These leases contain no provisions for renewal other than a certain New Zealand lease, which contains one renewal option for five years. The Company is not reasonably certain to elect the renewal option and has excluded it in the related right-of-use (“ROU”)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 and lease liabilities were as follows:</w:t>
      </w:r>
    </w:p>
    <w:p>
      <w:pPr>
        <w:pStyle w:val="TextBody"/>
        <w:bidi w:val="0"/>
        <w:spacing w:before="0" w:after="0"/>
        <w:ind w:left="0" w:right="0" w:hanging="0"/>
        <w:jc w:val="both"/>
        <w:rPr>
          <w:caps w:val="false"/>
          <w:smallCaps w:val="false"/>
        </w:rPr>
      </w:pPr>
      <w:r>
        <w:rPr>
          <w:caps w:val="false"/>
          <w:smallCaps w:val="false"/>
        </w:rPr>
        <w:t> </w:t>
      </w:r>
    </w:p>
    <w:tbl>
      <w:tblPr>
        <w:tblW w:w="3832" w:type="dxa"/>
        <w:jc w:val="left"/>
        <w:tblInd w:w="0" w:type="dxa"/>
        <w:tblLayout w:type="fixed"/>
        <w:tblCellMar>
          <w:top w:w="0" w:type="dxa"/>
          <w:left w:w="0" w:type="dxa"/>
          <w:bottom w:w="0" w:type="dxa"/>
          <w:right w:w="0" w:type="dxa"/>
        </w:tblCellMar>
      </w:tblPr>
      <w:tblGrid>
        <w:gridCol w:w="2285"/>
        <w:gridCol w:w="60"/>
        <w:gridCol w:w="147"/>
        <w:gridCol w:w="401"/>
        <w:gridCol w:w="63"/>
        <w:gridCol w:w="63"/>
        <w:gridCol w:w="147"/>
        <w:gridCol w:w="591"/>
        <w:gridCol w:w="75"/>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Right-of-use assets, net:</w:t>
            </w:r>
          </w:p>
        </w:tc>
        <w:tc>
          <w:tcPr>
            <w:tcW w:w="60" w:type="dxa"/>
            <w:tcBorders/>
            <w:vAlign w:val="center"/>
          </w:tcPr>
          <w:p>
            <w:pPr>
              <w:pStyle w:val="TableContents"/>
              <w:bidi w:val="0"/>
              <w:spacing w:before="0" w:after="283"/>
              <w:jc w:val="left"/>
              <w:rPr/>
            </w:pPr>
            <w:r>
              <w:rPr/>
              <w:t> </w:t>
            </w:r>
          </w:p>
        </w:tc>
        <w:tc>
          <w:tcPr>
            <w:tcW w:w="548" w:type="dxa"/>
            <w:gridSpan w:val="2"/>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38"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Total Operating leases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01" w:type="dxa"/>
            <w:tcBorders>
              <w:bottom w:val="double" w:sz="10" w:space="0" w:color="000000"/>
            </w:tcBorders>
            <w:shd w:fill="CCEEFF" w:val="clear"/>
            <w:tcMar>
              <w:bottom w:w="28" w:type="dxa"/>
            </w:tcMar>
            <w:vAlign w:val="center"/>
          </w:tcPr>
          <w:p>
            <w:pPr>
              <w:pStyle w:val="TableContents"/>
              <w:bidi w:val="0"/>
              <w:spacing w:before="0" w:after="283"/>
              <w:jc w:val="right"/>
              <w:rPr/>
            </w:pPr>
            <w:r>
              <w:rPr/>
              <w:t>979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1" w:type="dxa"/>
            <w:tcBorders>
              <w:bottom w:val="double" w:sz="10" w:space="0" w:color="000000"/>
            </w:tcBorders>
            <w:shd w:fill="CCEEFF" w:val="clear"/>
            <w:tcMar>
              <w:bottom w:w="28" w:type="dxa"/>
            </w:tcMar>
            <w:vAlign w:val="center"/>
          </w:tcPr>
          <w:p>
            <w:pPr>
              <w:pStyle w:val="TableContents"/>
              <w:bidi w:val="0"/>
              <w:spacing w:before="0" w:after="283"/>
              <w:jc w:val="right"/>
              <w:rPr/>
            </w:pPr>
            <w:r>
              <w:rPr/>
              <w:t>1,348</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Current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right"/>
              <w:rPr/>
            </w:pPr>
            <w:r>
              <w:rPr/>
              <w:t>657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709</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Long-term</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1" w:type="dxa"/>
            <w:tcBorders>
              <w:bottom w:val="single" w:sz="12" w:space="0" w:color="000000"/>
            </w:tcBorders>
            <w:shd w:fill="CCEEFF" w:val="clear"/>
            <w:tcMar>
              <w:bottom w:w="28" w:type="dxa"/>
            </w:tcMar>
            <w:vAlign w:val="center"/>
          </w:tcPr>
          <w:p>
            <w:pPr>
              <w:pStyle w:val="TableContents"/>
              <w:bidi w:val="0"/>
              <w:spacing w:before="0" w:after="283"/>
              <w:jc w:val="right"/>
              <w:rPr/>
            </w:pPr>
            <w:r>
              <w:rPr/>
              <w:t>331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1" w:type="dxa"/>
            <w:tcBorders>
              <w:bottom w:val="single" w:sz="12" w:space="0" w:color="000000"/>
            </w:tcBorders>
            <w:shd w:fill="CCEEFF" w:val="clear"/>
            <w:tcMar>
              <w:bottom w:w="28" w:type="dxa"/>
            </w:tcMar>
            <w:vAlign w:val="center"/>
          </w:tcPr>
          <w:p>
            <w:pPr>
              <w:pStyle w:val="TableContents"/>
              <w:bidi w:val="0"/>
              <w:spacing w:before="0" w:after="283"/>
              <w:jc w:val="right"/>
              <w:rPr/>
            </w:pPr>
            <w:r>
              <w:rPr/>
              <w:t>653</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Total lease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01" w:type="dxa"/>
            <w:tcBorders>
              <w:bottom w:val="double" w:sz="10" w:space="0" w:color="000000"/>
            </w:tcBorders>
            <w:shd w:fill="FFFFFF" w:val="clear"/>
            <w:tcMar>
              <w:bottom w:w="28" w:type="dxa"/>
            </w:tcMar>
            <w:vAlign w:val="center"/>
          </w:tcPr>
          <w:p>
            <w:pPr>
              <w:pStyle w:val="TableContents"/>
              <w:bidi w:val="0"/>
              <w:spacing w:before="0" w:after="283"/>
              <w:jc w:val="right"/>
              <w:rPr/>
            </w:pPr>
            <w:r>
              <w:rPr/>
              <w:t>988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91" w:type="dxa"/>
            <w:tcBorders>
              <w:bottom w:val="double" w:sz="10" w:space="0" w:color="000000"/>
            </w:tcBorders>
            <w:shd w:fill="FFFFFF" w:val="clear"/>
            <w:tcMar>
              <w:bottom w:w="28" w:type="dxa"/>
            </w:tcMar>
            <w:vAlign w:val="center"/>
          </w:tcPr>
          <w:p>
            <w:pPr>
              <w:pStyle w:val="TableContents"/>
              <w:bidi w:val="0"/>
              <w:spacing w:before="0" w:after="283"/>
              <w:jc w:val="right"/>
              <w:rPr/>
            </w:pPr>
            <w:r>
              <w:rPr/>
              <w:t>1,362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for the years ended were as follows:</w:t>
      </w:r>
    </w:p>
    <w:p>
      <w:pPr>
        <w:pStyle w:val="TextBody"/>
        <w:bidi w:val="0"/>
        <w:spacing w:before="0" w:after="0"/>
        <w:ind w:left="0" w:right="0" w:hanging="0"/>
        <w:jc w:val="both"/>
        <w:rPr>
          <w:caps w:val="false"/>
          <w:smallCaps w:val="false"/>
        </w:rPr>
      </w:pPr>
      <w:r>
        <w:rPr>
          <w:caps w:val="false"/>
          <w:smallCaps w:val="false"/>
        </w:rPr>
        <w:t> </w:t>
      </w:r>
    </w:p>
    <w:tbl>
      <w:tblPr>
        <w:tblW w:w="5243" w:type="dxa"/>
        <w:jc w:val="left"/>
        <w:tblInd w:w="0" w:type="dxa"/>
        <w:tblLayout w:type="fixed"/>
        <w:tblCellMar>
          <w:top w:w="0" w:type="dxa"/>
          <w:left w:w="0" w:type="dxa"/>
          <w:bottom w:w="0" w:type="dxa"/>
          <w:right w:w="0" w:type="dxa"/>
        </w:tblCellMar>
      </w:tblPr>
      <w:tblGrid>
        <w:gridCol w:w="2390"/>
        <w:gridCol w:w="60"/>
        <w:gridCol w:w="250"/>
        <w:gridCol w:w="1002"/>
        <w:gridCol w:w="107"/>
        <w:gridCol w:w="107"/>
        <w:gridCol w:w="250"/>
        <w:gridCol w:w="1002"/>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2390" w:type="dxa"/>
            <w:tcBorders>
              <w:bottom w:val="single" w:sz="12" w:space="0" w:color="000000"/>
            </w:tcBorders>
            <w:tcMar>
              <w:bottom w:w="28" w:type="dxa"/>
            </w:tcMar>
            <w:vAlign w:val="center"/>
          </w:tcPr>
          <w:p>
            <w:pPr>
              <w:pStyle w:val="TableContents"/>
              <w:bidi w:val="0"/>
              <w:spacing w:before="0" w:after="283"/>
              <w:jc w:val="left"/>
              <w:rPr>
                <w:b/>
              </w:rPr>
            </w:pPr>
            <w:r>
              <w:rPr>
                <w:b/>
              </w:rPr>
              <w:t>Component</w:t>
            </w:r>
          </w:p>
        </w:tc>
        <w:tc>
          <w:tcPr>
            <w:tcW w:w="60"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Operating lease expense</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898</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717</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Short-term lease expense</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131</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264</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Variable lease expense</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Total lease expense</w:t>
            </w:r>
          </w:p>
        </w:tc>
        <w:tc>
          <w:tcPr>
            <w:tcW w:w="60" w:type="dxa"/>
            <w:tcBorders/>
            <w:shd w:fill="FFFFFF" w:val="clear"/>
            <w:vAlign w:val="center"/>
          </w:tcPr>
          <w:p>
            <w:pPr>
              <w:pStyle w:val="TableContents"/>
              <w:bidi w:val="0"/>
              <w:spacing w:before="0" w:after="283"/>
              <w:jc w:val="left"/>
              <w:rPr/>
            </w:pPr>
            <w:r>
              <w:rPr/>
              <w:t> </w:t>
            </w:r>
          </w:p>
        </w:tc>
        <w:tc>
          <w:tcPr>
            <w:tcW w:w="25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FFFFFF" w:val="clear"/>
            <w:tcMar>
              <w:bottom w:w="28" w:type="dxa"/>
            </w:tcMar>
            <w:vAlign w:val="center"/>
          </w:tcPr>
          <w:p>
            <w:pPr>
              <w:pStyle w:val="TableContents"/>
              <w:bidi w:val="0"/>
              <w:spacing w:before="0" w:after="283"/>
              <w:jc w:val="right"/>
              <w:rPr/>
            </w:pPr>
            <w:r>
              <w:rPr/>
              <w:t>1,036</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FFFFFF" w:val="clear"/>
            <w:tcMar>
              <w:bottom w:w="28" w:type="dxa"/>
            </w:tcMar>
            <w:vAlign w:val="center"/>
          </w:tcPr>
          <w:p>
            <w:pPr>
              <w:pStyle w:val="TableContents"/>
              <w:bidi w:val="0"/>
              <w:spacing w:before="0" w:after="283"/>
              <w:jc w:val="right"/>
              <w:rPr/>
            </w:pPr>
            <w:r>
              <w:rPr/>
              <w:t>1,001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 and discount rate for operating leases were as follows:</w:t>
      </w:r>
    </w:p>
    <w:p>
      <w:pPr>
        <w:pStyle w:val="TextBody"/>
        <w:bidi w:val="0"/>
        <w:spacing w:before="0" w:after="0"/>
        <w:ind w:left="0" w:right="0" w:hanging="0"/>
        <w:jc w:val="both"/>
        <w:rPr>
          <w:caps w:val="false"/>
          <w:smallCaps w:val="false"/>
        </w:rPr>
      </w:pPr>
      <w:r>
        <w:rPr>
          <w:caps w:val="false"/>
          <w:smallCaps w:val="false"/>
        </w:rPr>
        <w:t> </w:t>
      </w:r>
    </w:p>
    <w:tbl>
      <w:tblPr>
        <w:tblW w:w="6988" w:type="dxa"/>
        <w:jc w:val="left"/>
        <w:tblInd w:w="0" w:type="dxa"/>
        <w:tblLayout w:type="fixed"/>
        <w:tblCellMar>
          <w:top w:w="0" w:type="dxa"/>
          <w:left w:w="0" w:type="dxa"/>
          <w:bottom w:w="0" w:type="dxa"/>
          <w:right w:w="0" w:type="dxa"/>
        </w:tblCellMar>
      </w:tblPr>
      <w:tblGrid>
        <w:gridCol w:w="4700"/>
        <w:gridCol w:w="60"/>
        <w:gridCol w:w="79"/>
        <w:gridCol w:w="739"/>
        <w:gridCol w:w="283"/>
        <w:gridCol w:w="79"/>
        <w:gridCol w:w="79"/>
        <w:gridCol w:w="739"/>
        <w:gridCol w:w="230"/>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23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83"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3.17</w:t>
            </w:r>
          </w:p>
        </w:tc>
        <w:tc>
          <w:tcPr>
            <w:tcW w:w="283"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3.30</w:t>
            </w:r>
          </w:p>
        </w:tc>
        <w:tc>
          <w:tcPr>
            <w:tcW w:w="23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13.21</w:t>
            </w:r>
          </w:p>
        </w:tc>
        <w:tc>
          <w:tcPr>
            <w:tcW w:w="283"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12.40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operating lease payments as of December 31, 2025 are as follows:</w:t>
      </w:r>
    </w:p>
    <w:p>
      <w:pPr>
        <w:pStyle w:val="TextBody"/>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28" w:type="dxa"/>
          <w:right w:w="0" w:type="dxa"/>
        </w:tblCellMar>
      </w:tblPr>
      <w:tblGrid>
        <w:gridCol w:w="3590"/>
        <w:gridCol w:w="60"/>
        <w:gridCol w:w="172"/>
        <w:gridCol w:w="688"/>
        <w:gridCol w:w="75"/>
      </w:tblGrid>
      <w:tr>
        <w:trPr/>
        <w:tc>
          <w:tcPr>
            <w:tcW w:w="3590"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Years ending December 31: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688" w:type="dxa"/>
            <w:tcBorders/>
            <w:shd w:fill="CCEEFF" w:val="clear"/>
            <w:tcMar>
              <w:bottom w:w="0" w:type="dxa"/>
            </w:tcMar>
            <w:vAlign w:val="center"/>
          </w:tcPr>
          <w:p>
            <w:pPr>
              <w:pStyle w:val="TableContents"/>
              <w:bidi w:val="0"/>
              <w:spacing w:before="0" w:after="283"/>
              <w:jc w:val="right"/>
              <w:rPr/>
            </w:pPr>
            <w:r>
              <w:rPr/>
              <w:t>736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right"/>
              <w:rPr/>
            </w:pPr>
            <w:r>
              <w:rPr/>
              <w:t>79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pPr>
            <w:r>
              <w:rPr/>
              <w:t>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right"/>
              <w:rPr/>
            </w:pPr>
            <w:r>
              <w:rPr/>
              <w:t>79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pPr>
            <w:r>
              <w:rPr/>
              <w:t>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c>
          <w:tcPr>
            <w:tcW w:w="688" w:type="dxa"/>
            <w:tcBorders>
              <w:bottom w:val="single" w:sz="12" w:space="0" w:color="000000"/>
            </w:tcBorders>
            <w:shd w:fill="FFFFFF" w:val="clear"/>
            <w:vAlign w:val="center"/>
          </w:tcPr>
          <w:p>
            <w:pPr>
              <w:pStyle w:val="TableContents"/>
              <w:bidi w:val="0"/>
              <w:spacing w:before="0" w:after="283"/>
              <w:jc w:val="right"/>
              <w:rPr/>
            </w:pPr>
            <w:r>
              <w:rPr/>
              <w:t>172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Total future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pPr>
            <w:r>
              <w:rPr/>
              <w:t>1,224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Less present value discount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c>
          <w:tcPr>
            <w:tcW w:w="688" w:type="dxa"/>
            <w:tcBorders>
              <w:bottom w:val="single" w:sz="12" w:space="0" w:color="000000"/>
            </w:tcBorders>
            <w:shd w:fill="FFFFFF" w:val="clear"/>
            <w:vAlign w:val="center"/>
          </w:tcPr>
          <w:p>
            <w:pPr>
              <w:pStyle w:val="TableContents"/>
              <w:bidi w:val="0"/>
              <w:spacing w:before="0" w:after="283"/>
              <w:jc w:val="right"/>
              <w:rPr/>
            </w:pPr>
            <w:r>
              <w:rPr/>
              <w:t>236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Present value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pPr>
            <w:r>
              <w:rPr/>
              <w:t>988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Less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c>
          <w:tcPr>
            <w:tcW w:w="688" w:type="dxa"/>
            <w:tcBorders>
              <w:bottom w:val="single" w:sz="12" w:space="0" w:color="000000"/>
            </w:tcBorders>
            <w:shd w:fill="FFFFFF" w:val="clear"/>
            <w:vAlign w:val="center"/>
          </w:tcPr>
          <w:p>
            <w:pPr>
              <w:pStyle w:val="TableContents"/>
              <w:bidi w:val="0"/>
              <w:spacing w:before="0" w:after="283"/>
              <w:jc w:val="right"/>
              <w:rPr/>
            </w:pPr>
            <w:r>
              <w:rPr/>
              <w:t>657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Long-term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bottom w:val="double" w:sz="10" w:space="0" w:color="000000"/>
            </w:tcBorders>
            <w:shd w:fill="CCEEFF" w:val="clear"/>
            <w:vAlign w:val="center"/>
          </w:tcPr>
          <w:p>
            <w:pPr>
              <w:pStyle w:val="TableContents"/>
              <w:bidi w:val="0"/>
              <w:spacing w:before="0" w:after="283"/>
              <w:jc w:val="left"/>
              <w:rPr/>
            </w:pPr>
            <w:r>
              <w:rPr/>
              <w:t>$</w:t>
            </w:r>
          </w:p>
        </w:tc>
        <w:tc>
          <w:tcPr>
            <w:tcW w:w="688" w:type="dxa"/>
            <w:tcBorders>
              <w:bottom w:val="double" w:sz="10" w:space="0" w:color="000000"/>
            </w:tcBorders>
            <w:shd w:fill="CCEEFF" w:val="clear"/>
            <w:vAlign w:val="center"/>
          </w:tcPr>
          <w:p>
            <w:pPr>
              <w:pStyle w:val="TableContents"/>
              <w:bidi w:val="0"/>
              <w:spacing w:before="0" w:after="283"/>
              <w:jc w:val="right"/>
              <w:rPr/>
            </w:pPr>
            <w:r>
              <w:rPr/>
              <w:t>331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2025, the Company entered into a lease agreement that has not commenced for hangar and corporate office space in Bedford, MA and thus no right-of-use asset or lease liability has been recorded. When the lease commences the lease arrangement will have estimated total future payments of approximately $34,247 through September 2035. The lease is expected to commence in 2027. Also on September 4, 2025, the Company entered into a side letter agreement with the landlord permitting the Company to install a temporary airplane hangar on land subject to the lease agreement until the subject premises are made available. As of December 31, 2025, the premises and the land for the temporary hangar have not yet been made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2021 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September 2021, the Company entered into a loan and security agreement (“2021 LSA”) with the lender thereto which provided for term loan commitments with a maximum potential borrowing amount of $10,000. The aggregate commitments under the 2021 LSA included (a) a term loan facility in an aggregate principal amount of $3,000 (the “2021 LSA First Tranche”), (b) a delayed draw term loan facility in an aggregate principal amount of $1,000 (the “2021 LSA Second Tranche”), and (c) the lender’s commitment to reserve $6,000 for future funding of loans (the “2021 LSA Reserve”). Pursuant to the terms of the 2021 LSA, term loans under 2021 LSA First Tranche were required to be drawn down within five business days following the execution of the 2021 LSA. As a condition precedent to issue term loans under the 2021 LSA Second Tranche, the Company was required to achieve certain operational milestones and the 2021 LSA Second Tranche expired unused in March 2022. Further, the Company had no enforceable right to issue term loans under the 2021 LSA Reserve as any binding commitment thereto was subject to the Company and lender agreeing to enter into a binding commitment to provide funding following the Company’s next equity financing round. No amounts were drawn under the 2021 LSA Reserve. In connection with the execution of the 2021 LSA, the Company issued the lender thereunder warrants to purchase the Company’s redeemable convertible preferred stock (refer to Note 9. Warrants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September 2021, the Company entered into a term loan in an aggregate principal amount of $3,000 under the 2021 LSA First Tranche (“2021 LSA Loan”). The 2021 LSA Loan bore interest at 11% per annum. Pursuant to the terms of the 2021 LSA, the Company was required to make interest-only payments through June 2022, and subsequently, the aggregate principal amount of the 2021 LSA Loan was amortized and paid down in equal monthly installments, together with interest thereon, over the following by 36 months until the final maturity of the 2021 LSA Loan on July 1, 2025. All outstanding principal, plus interest accrued thereon, was repaid in accordance with the contractual terms of the 2021 LSA in July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2021 LSA and issuance of the 2021 LSA Loan, the Company incurred $29 in debt issuance costs and a debt discount of $74. Deferred financing costs related to the 2021 LSA Loan of $103 were amortized to interest expense over the life of the 2021 LSA Loan using the effective interest method. The effective interest rate of the 2021 LSA Loan was 12.6%.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warrants to purchase the Company’s redeemable convertible preferred stock remain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Zealand Provincial Growth Fund (“PGF”)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MLNL entered into a loan agreement (“2022 PGF Agreement”) with the New Zealand Ministry of Business, Innovation and Employment (“Ministry”), securing a convertible loan commitment in an aggregate principal amount of NZD 1,000 ($660 USD at issuance). Under this agreement, MLNL received NZD 1,000 ($660 USD at issuance) in aggregate principal amount of convertible debt, referred to as the “2022 PGF Loan”. The 2022 PGF Loan bears interest at a fixed rate of 7.47%. Pursuant to the terms of the 2022 PGF Agreement, interest accrued on the 2022 PGF Loan prior to the third anniversary of the issuance thereof shall be paid in-kind on each anniversary of the issuance date. On each subsequent anniversary date until the maturity date of July 21, 2032, the Company shall make annual payments comprised of (a) equal amortizing payments of 2022 PGF Loan principal and (b) interest accrued during the anniversary year. All amounts due but not yet paid, including all interest paid in-kind, shall become payable on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PGF Loan is collateralized by a security interest in certain assets of the Company and is subject to certain customary covenants, with which the Company was in compliance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MLNL has optional redemption rights of the 2022 PGF Loan. Additionally, the repayment of principal and accrued interest of the 2022 PGF Loan may be accelerated upon the occurrence of certain events, including events of default and receipt of insurance proceeds related to the operating assets of MLNL.Upon the occurrence of a qualifying equity financing round of the Company, the Ministry retains the right to convert the unpaid principal amount, together with unpaid interest thereon, into shares of common stock of the Company at a 15.0% discount to the issuance price of the Company’s equity in the financing 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incur any debt issuance costs in connection with the 2022 PGF Agreement. The Company accounts for the 2022 PGF Loan using the effective interest method. The effective interest rate of the 2022 PGF Loan is 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fair value of the PGF Loan was $640 and $677, respectively. The fair value of the 2022 PGF Loan was estimated using Level 3 inputs in a discounted cash flow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Company entered into a loan and security agreement (“2024 LSA”) with the lender thereto, which provided for delayed draw term loan commitments in an aggregate principal amount of $35,000. The aggregate commitments under the 2024 LSA included (a) a delayed draw term loan facility in an aggregate principal amount of $12,500 (the “2024 LSA First Tranche”), (b) a delayed draw term loan tranche in an aggregate principal amount of $12,500 (the “2024 LSA Second Tranche”), and (c) a delayed draw term loan facility tranche in an aggregate principal amount of $10,000 (the “2024 LSA Third Tranche”). As a condition precedent to issue term loans under the 2024 LSA Third Tranche, the Company achieved certain operational milestones as defined in the 2024 LSA. In connection with the entrance into the 2024 LSA, the Company issued the lender thereto warrants to purchase the Company’s redeemable convertible preferred stock (refer to Note 9. Warrants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2024, August 30, 2024, and October 23, 2024, the Company entered into term loans under the 2024 LSA First, Second, and Third Tranches, in aggregate principal amounts of $12,500, $12,500, and $10,000, respectively (collectively, the “2024 LSA Loans”). The 2024 LSA Loans accrue interest at a fixed rate per annum, compounded monthly, equal to the Prime Rate as of the issuance date thereof plus 5.0%. In addition to the fixed cash interest, the outstanding principal balance of the 2024 LSA Loans accrues interest paid in-kind at 1.5% per annum, compounded monthly. Inclusive of both cash interest and interest paid in-kind, the total nominal interest rate of the 2024 LSA Loans issued under the 2024 LSA First, Second, and Third Tranches was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2024 LSA Amendment (as defined below), the Company was required to make interest-only payments at the cash interest rate through February 2025, and subsequently, the aggregate principal amount of the 2024 LSA Loans would be amortized and paid down in equal monthly installments, together with cash interest thereon, over the following 24 months until final maturity on January 31, 2027. On the maturity date, all unpaid principal of 2024 LSA Loans, together with cash interest and all interest paid-in kind, was set to become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2024 LSA, the Company recorded a debt discount of $622, related to the payment of lender fees and the issuance of preferred stock warrant liabilities which was amortized to interest expense over the life of the 2024 LSA Loans using the effective interest method. The effective interest rates of the 2024 LSA Loans for the First, Second, and Third Tranches was 14.5%, 14.7%, and 14.9%,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2025, the Company and the lender thereto entered into an amendment to the 2024 LSA (“2024 LSA Amendment”). Pursuant to the 2024 LSA Amendment, the maturity date of the 2024 LSA Loans was extended to June 1, 2027, with amortizing principal payments beginning on January 1, 2026 and continuing until the final maturity date. No other terms of the 2024 LSA Loans were modified pursuant to the 2024 LSA Amendment. In connection with the 2024 LSA Amendment and to induce the lender into making such amendment, the Company issued warrants to purchase the Company’s redeemable convertible preferred stock with a fair value of $759 (“2024 LSA Amendment Warrants,” refer to Note 9.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LSA Amendment was accounted for as an extinguishment under ASC 470-50, Modifications and Extinguishments, and accordingly, the Company recognized a loss on extinguishment of long-term debt of $2,157 which is comprised of the fair value of the 2024 LSA Amendment Warrants issued and the difference between the fair value of the amended 2024 LSA Loans and the existing carrying amount of the 2024 LSA Loans. In accordance with ASC 825 and following the 2024 LSA Amendment, the Company elected to account for the 2024 LSA Loans under the fair value option. The Company elected to record the 2024 LSA Loans under the fair value option to simplify the recordkeeping on an ongoing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optional redemption rights of the 2024 LSA Loans, subject to an in-kind interest make whole premium plus a prepayment premium of 100% of future foregone cash interest payments, which reduces to 85% and 75% after December 31, 2025 and December 31, 2026, respectively. Additionally, the repayment of principal and accrued interest of the 2024 LSA Loans may be accelerated upon the occurrence of certain events, including events of default. The lender also retains the right to convert up to $5,000 of the outstanding loan balance into shares of the Company’s Series B Prime redeemable convertible preferred stock at any time through June 30, 2027 (the “2024 LSA Conversion Feature”).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2024 LSA are collateralized by substantially all of the Company’s assets and are subject to certain customary covenants, with which the Company was in compliance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Pre-PIPE Bridge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entered into a convertible note purchase agreement (“Pre-PIPE Bridge Agreement”) with the purchasers thereto, pursuant to which the Company may issue up to $23,445 in aggregate principal amount of unsecured convertible promissory notes (“Pre-PIPE Bridge Notes”). Additionally, pursuant to the Pre-PIPE Bridge Agreement, the Company issued common stock warrants (“Pre-PIPE Bridge Warrants”) to the purchasers thereto and, accordingly, the proceeds received in connection with each issuance were allocated between the Pre-PIPE Bridge Notes and Warrants (refer to Note 9.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series of Pre-PIPE Bridge Notes in an aggregate principal amount of $23,445 between July and August 2025. The Company accounts for the Pre-PIPE Bridge Notes under the fair value option and, accordingly, all issuance costs incurred in connection with the entrance into the Pre-PIPE Bridge Agreement and the issuance of Pre-PIPE Bridge Notes thereunder were expensed as incurred. The purchase price received by the Company for the first closing of the Pre-PIPE Bridge approximated the aggregate fair value of the Pre-PIPE Bridge Notes and Warrants issued and, therefore, no gain or loss on issuance was recognized. The purchase price received by the Company for the second closing of the Pre-PIPE Bridge was below the aggregate fair value of the Pre-PIPE Bridge Notes and Warrants issued and, therefore, the Company recognized a loss of $585 as a component of loss on issuance of financial instruments in the consolidated statements of operations. The Company elected to record the Pre-PIPE Bridge Notes under the fair value option based on the short-term maturity of the Pre-PIPE Bridge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Pre-PIPE Bridge Amendment (as defined below), the Pre-PIPE Bridge Notes accrued interest at a fixed rate of 12.0% per annum, compounded annually. All principal and accrued interest thereon was set to become due and payable upon demand by the purchasers thereof on or after July 2, 2026, unless earlier converted or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and in connection with the Pre-Funded PIPE transaction (as defined below), the Company and the holders of the Pre-PIPE Bridge Notes amended the terms of the Pre-PIPE Bridge Notes to more closely align with those of the Pre-Funded PIPE Notes (“Pre-PIPE Bridge Amendment”). As the Pre-PIPE Bridge Notes are accounted for under the fair value option, all amendment costs were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Pre-PIPE Bridge Amendment, the Pre-PIPE Bridge Notes accrue interest at 12.0% per annum, compounded semi-annually, until the principal amount of Pre-PIPE Bridge Notes and all interest accrued thereon is repaid or converted. The Pre-PIPE Bridge Amendment did not change the maturity date of the Pre-PIPE Bridge Notes. At the maturity date thereof, the principal amount of Pre-PIPE Bridge Notes and all accrued unpaid interest thereon shall be due and payable on demand or converted, at the holders’ discretion, into a new senior series of the Company’s redeemable convertible preferred stock at a conversion price per share of $23.3634, subject to certain customary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Pre-PIPE Bridge Amendment, on the day prior to the closing of the Merger, the unpaid principal amount of Pre-PIPE Bridge Notes, together with accrued unpaid interest thereon, shall automatically convert into shares of 12.0% Series A cumulative convertible preferred stock of the SPAC (“PubCo Series A”) at a conversion price of $10.20, which represents a 15% discount to the original issue price of such PubCo Series 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BCA is terminated without the Merger having closed, and the Company effectuates a Qualified Financing (as defined in the Pre-PIPE Bridge Amendment) prior to repayment or conversion of the Pre-PIPE Bridge Notes, the unpaid principal amount of Pre-PIPE Bridge Notes, together with accrued unpaid interest thereon, shall automatically convert into shares of capital stock of the Company sold in such Qualified Financing at a conversion price equal to 85% of the lowest price paid in cash by the purchasers thereof in the Qualified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BCA is terminated without the Merger having closed, and the Company effectuates a Change of Control (as defined in the Pre-PIPE Bridge Amendment), the unpaid principal amount of Pre-PIPE Bridge Notes, together with accrued unpaid interest thereon, shall automatically convert into shares of common stock of the Company immediately prior to the Change of Control. As an alternative to conversion into common stock, the Company retains the option to either (i) deem the outstanding Pre-PIPE Bridge Notes as converted, entitling the holders thereof to receive the consideration it would have otherwise received as a common stockholder in the Change of Control or (ii) redeem the Pre-PIPE Bridge Notes in an amount equal to two times the outstanding principal amount thereof, plus accrued unpaid interest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retain any optional redemption rights with respect to the Pre-PIPE Bridge Notes. The Pre-PIPE Bridge Notes may be accelerated upon the occurrence of certain events, including events of default. The Pre-PIPE Bridge Notes are subordinated to the Company’s senior debt obligations under the 2024 LSA and are subject to customary covenants, with which the Company was in compliance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Pre-Funded PIPE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the Company entered into a securities purchase agreement (“Pre-Funded PIPE Agreement”) with the purchasers thereto, pursuant to which the Company agreed to sell, and the purchasers agreed to purchase, unsecured convertible promissory notes and common stock warrants (refer to Note 9.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Pre-Funded PIPE Agreement, the Company issued $64,706 in aggregate principal amount of unsecured convertible promissory notes (“Pre-Funded PIPE Notes”) and common stock warrants (“Pre-Funded PIPE Warrants”) for total proceeds of $55,000 which were allocated between the Pre-Funded PIPE Notes and Warrants. The Company accounts for the Pre-Funded PIPE Notes under the fair value option and, accordingly, all issuance costs incurred in connection with the entrance into the Pre-Funded PIPE Agreement and the issuance of Pre-Funded PIPE Notes thereunder were expensed as incurred. The purchase price received by the Company approximated the aggregate fair value of the Pre-Funded PIPE Notes and Warrants issued and, therefore, no gain or loss on issuance was recognized. The Company elected to record the Pre-Funded PIPE Notes under the fair value option based on the short-term maturity of the Pre-Funded PIPE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Pre-Funded PIPE Agreement contains a provision that provides a purchaser thereunder, who is an affiliate of the SPAC, the right (“Purchaser Right”) to require the Company to issue and sell up to approximately $29,412 in aggregate principal amount of additional Pre-Funded PIPE Notes and accompanying Pre-Funded PIPE Warrants (“Purchaser Right Notes”). The Purchaser Right was exercisable at any time prior to December 31, 2025 so long as the BCA is not terminated and expired unexercised on December 31, 2025. The Purchaser Right was a written call option accounted for initially and subsequently at fair value, with changes in fair value recognized in the consolidated statements of operations. The Purchaser Right had a de minimis fair value as of the execution of the Pre-Funded PIPE Agreement and had a de minimis fair value at its expiration on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2025, the Pre-Funded PIPE Agreement was amended to permit the issuance of incremental Pre-Funded PIPE Notes and Warrants under the original terms of the Pre-Funded PIPE Agreement (“Pre-Funded PIPE Amendment”). No terms of the issued and outstanding Pre-Funded PIPE Notes and Warrants were modified in connection with the Pre-Funded PIPE Amendment. On November 18, 2025 and pursuant to the Pre-Funded PIPE Amendment, the Company issued incremental Pre-Funded PIPE Notes to an existing holder of Pre-Funded PIPE securities in an aggregate principal amount of $10,893, together with accompanying Pre-Funded PIPE Warrants, for total proceeds of $9,259 which were allocated between the Pre-Funded PIPE Notes and Warrants. The Company accounts for the incremental Pre-Funded PIPE Notes under the fair value option and, accordingly, all amendment costs were expensed as incurred. The purchase price received by the Company approximated the aggregate fair value of the Pre-Funded PIPE Notes and Warrants issued and, therefore, no gain or loss on issuance was recognized. The Company elected to record the incremental Pre-Funded PIPE Notes under the fair value option based on the short-term maturity of the Pre-Funded PIPE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PIPE Notes accrue interest at a fixed rate of 12.0% per annum, compounded semi-annually, until the principal amount of Pre-Funded PIPE Notes and all interest accrued thereon is repaid or converted. The Pre-Funded PIPE Notes are scheduled to mature on August 13, 2026. At the maturity date thereof, the principal amount of Pre-Funded PIPE Notes and all accrued unpaid interest thereon shall be due and payable on demand or converted, at the holders’ discretion, into a new senior series of the Company’s redeemable convertible preferred stock at a conversion price per share of $27.4863.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day prior to the closing of the Merger, the unpaid principal amount of Pre-Funded PIPE Notes, together with accrued unpaid interest thereon, shall automatically convert into shares of PubCo Series A preferred stock at a conversion price of $12.00, which represents the original issue price of such PubCo Series 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BCA is terminated without the Merger having closed, and the Company effectuates a Qualified Financing (as defined in the Pre-Funded PIPE Agreement) prior to repayment or conversion of the Pre-Funded PIPE Notes, the unpaid principal amount of Pre-Funded PIPE Notes, together with accrued unpaid interest thereon, shall, at the holders’ option, convert into shares of capital stock of the Company sold in such Qualified Financing at a conversion price equal to the lowest price paid in cash by the purchasers thereof in the Qualified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BCA is terminated without the Merger having closed, and the Company effectuates a Change of Control (as defined in the Pre-Funded PIPE Agreement), the unpaid principal amount of Pre-Funded PIPE Notes, together with accrued unpaid interest thereon, shall automatically convert into shares of common stock of the Company immediately prior to the Change of Control. As an alternative to conversion into common stock, the Company retains the option to either (i) deem the outstanding Pre-Funded PIPE Notes as converted, entitling the holders thereof to receive the consideration it would have otherwise received as a common stockholder in the Change of Control or (ii) redeem the Pre-Funded PIPE Notes in an amount equal to two times the outstanding principal amount thereof, plus accrued unpaid interest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retain any optional redemption rights with respect to the Pre-Funded PIPE Notes. The Pre-Funded PIPE Notes may be accelerated upon the occurrence of certain events, including events of default. The Pre-Funded PIPE Notes are subordinated to the Company’s senior debt obligations under the 2024 LSA and are subject to customary covenants, with which the Company was in compliance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outstanding debt as of December 31, 2025:</w:t>
      </w:r>
    </w:p>
    <w:p>
      <w:pPr>
        <w:pStyle w:val="TextBody"/>
        <w:bidi w:val="0"/>
        <w:spacing w:before="0" w:after="0"/>
        <w:ind w:left="0" w:right="0" w:hanging="0"/>
        <w:jc w:val="both"/>
        <w:rPr>
          <w:caps w:val="false"/>
          <w:smallCaps w:val="false"/>
        </w:rPr>
      </w:pPr>
      <w:r>
        <w:rPr>
          <w:caps w:val="false"/>
          <w:smallCaps w:val="false"/>
        </w:rPr>
        <w:t> </w:t>
      </w:r>
    </w:p>
    <w:tbl>
      <w:tblPr>
        <w:tblW w:w="6143" w:type="dxa"/>
        <w:jc w:val="left"/>
        <w:tblInd w:w="0" w:type="dxa"/>
        <w:tblLayout w:type="fixed"/>
        <w:tblCellMar>
          <w:top w:w="0" w:type="dxa"/>
          <w:left w:w="0" w:type="dxa"/>
          <w:bottom w:w="0" w:type="dxa"/>
          <w:right w:w="0" w:type="dxa"/>
        </w:tblCellMar>
      </w:tblPr>
      <w:tblGrid>
        <w:gridCol w:w="4010"/>
        <w:gridCol w:w="60"/>
        <w:gridCol w:w="159"/>
        <w:gridCol w:w="772"/>
        <w:gridCol w:w="68"/>
        <w:gridCol w:w="68"/>
        <w:gridCol w:w="159"/>
        <w:gridCol w:w="772"/>
        <w:gridCol w:w="75"/>
      </w:tblGrid>
      <w:tr>
        <w:trPr/>
        <w:tc>
          <w:tcPr>
            <w:tcW w:w="40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ind w:left="0" w:right="0" w:hanging="180"/>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2021 LSA Loan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2022 PGF Loan</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672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654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2024 LSA Loans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pPr>
            <w:r>
              <w:rPr/>
              <w:t>31,383</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pPr>
            <w:r>
              <w:rPr/>
              <w:t>35,192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Total long-term debt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32,055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36,346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Less current maturities of long-term debt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19,271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14,157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Less unamortized deferred financing costs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pPr>
            <w:r>
              <w:rPr/>
              <w:t>516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Total long-term debt, net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double" w:sz="10" w:space="0" w:color="000000"/>
            </w:tcBorders>
            <w:shd w:fill="CCEEFF" w:val="clear"/>
            <w:tcMar>
              <w:bottom w:w="28" w:type="dxa"/>
            </w:tcMar>
            <w:vAlign w:val="center"/>
          </w:tcPr>
          <w:p>
            <w:pPr>
              <w:pStyle w:val="TableContents"/>
              <w:bidi w:val="0"/>
              <w:spacing w:before="0" w:after="283"/>
              <w:jc w:val="right"/>
              <w:rPr/>
            </w:pPr>
            <w:r>
              <w:rPr/>
              <w:t>12,784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double" w:sz="10" w:space="0" w:color="000000"/>
            </w:tcBorders>
            <w:shd w:fill="CCEEFF" w:val="clear"/>
            <w:tcMar>
              <w:bottom w:w="28" w:type="dxa"/>
            </w:tcMar>
            <w:vAlign w:val="center"/>
          </w:tcPr>
          <w:p>
            <w:pPr>
              <w:pStyle w:val="TableContents"/>
              <w:bidi w:val="0"/>
              <w:spacing w:before="0" w:after="283"/>
              <w:jc w:val="right"/>
              <w:rPr/>
            </w:pPr>
            <w:r>
              <w:rPr/>
              <w:t>21,673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debt outstanding, in principal amounts, as of December 31, 2025 are as follows:</w:t>
      </w:r>
    </w:p>
    <w:p>
      <w:pPr>
        <w:pStyle w:val="TextBody"/>
        <w:bidi w:val="0"/>
        <w:spacing w:before="0" w:after="0"/>
        <w:ind w:left="0" w:right="0" w:hanging="0"/>
        <w:jc w:val="both"/>
        <w:rPr>
          <w:caps w:val="false"/>
          <w:smallCaps w:val="false"/>
        </w:rPr>
      </w:pPr>
      <w:r>
        <w:rPr>
          <w:caps w:val="false"/>
          <w:smallCaps w:val="false"/>
        </w:rPr>
        <w:t> </w:t>
      </w:r>
    </w:p>
    <w:tbl>
      <w:tblPr>
        <w:tblW w:w="3235" w:type="dxa"/>
        <w:jc w:val="left"/>
        <w:tblInd w:w="0" w:type="dxa"/>
        <w:tblLayout w:type="fixed"/>
        <w:tblCellMar>
          <w:top w:w="0" w:type="dxa"/>
          <w:left w:w="0" w:type="dxa"/>
          <w:bottom w:w="28" w:type="dxa"/>
          <w:right w:w="0" w:type="dxa"/>
        </w:tblCellMar>
      </w:tblPr>
      <w:tblGrid>
        <w:gridCol w:w="2240"/>
        <w:gridCol w:w="60"/>
        <w:gridCol w:w="146"/>
        <w:gridCol w:w="714"/>
        <w:gridCol w:w="75"/>
      </w:tblGrid>
      <w:tr>
        <w:trPr/>
        <w:tc>
          <w:tcPr>
            <w:tcW w:w="2240"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4" w:type="dxa"/>
            <w:tcBorders/>
            <w:shd w:fill="CCEEFF" w:val="clear"/>
            <w:tcMar>
              <w:bottom w:w="0" w:type="dxa"/>
            </w:tcMar>
            <w:vAlign w:val="center"/>
          </w:tcPr>
          <w:p>
            <w:pPr>
              <w:pStyle w:val="TableContents"/>
              <w:bidi w:val="0"/>
              <w:spacing w:before="0" w:after="283"/>
              <w:jc w:val="right"/>
              <w:rPr/>
            </w:pPr>
            <w:r>
              <w:rPr/>
              <w:t>19,271</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10,708</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96</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96</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96</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FFFFFF" w:val="clear"/>
            <w:vAlign w:val="center"/>
          </w:tcPr>
          <w:p>
            <w:pPr>
              <w:pStyle w:val="TableContents"/>
              <w:bidi w:val="0"/>
              <w:spacing w:before="0" w:after="283"/>
              <w:jc w:val="left"/>
              <w:rPr/>
            </w:pPr>
            <w:r>
              <w:rPr/>
              <w:t> </w:t>
            </w:r>
          </w:p>
        </w:tc>
        <w:tc>
          <w:tcPr>
            <w:tcW w:w="714" w:type="dxa"/>
            <w:tcBorders>
              <w:bottom w:val="single" w:sz="12" w:space="0" w:color="000000"/>
            </w:tcBorders>
            <w:shd w:fill="FFFFFF" w:val="clear"/>
            <w:vAlign w:val="center"/>
          </w:tcPr>
          <w:p>
            <w:pPr>
              <w:pStyle w:val="TableContents"/>
              <w:bidi w:val="0"/>
              <w:spacing w:before="0" w:after="283"/>
              <w:jc w:val="right"/>
              <w:rPr/>
            </w:pPr>
            <w:r>
              <w:rPr/>
              <w:t>192</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double" w:sz="10" w:space="0" w:color="000000"/>
            </w:tcBorders>
            <w:shd w:fill="CCEEFF" w:val="clear"/>
            <w:vAlign w:val="center"/>
          </w:tcPr>
          <w:p>
            <w:pPr>
              <w:pStyle w:val="TableContents"/>
              <w:bidi w:val="0"/>
              <w:spacing w:before="0" w:after="283"/>
              <w:jc w:val="left"/>
              <w:rPr/>
            </w:pPr>
            <w:r>
              <w:rPr/>
              <w:t>$</w:t>
            </w:r>
          </w:p>
        </w:tc>
        <w:tc>
          <w:tcPr>
            <w:tcW w:w="714" w:type="dxa"/>
            <w:tcBorders>
              <w:bottom w:val="double" w:sz="10" w:space="0" w:color="000000"/>
            </w:tcBorders>
            <w:shd w:fill="CCEEFF" w:val="clear"/>
            <w:vAlign w:val="center"/>
          </w:tcPr>
          <w:p>
            <w:pPr>
              <w:pStyle w:val="TableContents"/>
              <w:bidi w:val="0"/>
              <w:spacing w:before="0" w:after="283"/>
              <w:jc w:val="right"/>
              <w:rPr/>
            </w:pPr>
            <w:r>
              <w:rPr/>
              <w:t>30,459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055"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in connection with the 2019 loan and security agreement (“LSA”), 2021 LSA, and 2024 LSA (the “2019 LSA Warrants”, “2021 LSA Warrants”, and “2024 LSA Warrants,” respectively) were determined to meet the criteria for liability classification pursuant to ASC 480 as the underlying warrant shares, the Company’s redeemable convertible preferred stock, are redeemable outside the control of the Company and are accordingly classified as mezzanine equity (refer to Note 10. Redeemable Convertible Preferred Stock and Stockholders’ Deficit for further information). The 2019 LSA Warrants, 2021 LSA Warrants, and 2024 LSA Warrants are therefore required to be initially and subsequently measured at fair value with changes in fair value presented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LSA Amendment Warrants were determined to meet the criteria for liability classification pursuant to ASC 480 as the terms thereof permit the holder to exchange the 2024 LSA Amendment Warrants for instruments issued in any bridge financing occurring after the issuance date thereof, which includes the issuance of convertible debt instruments. The 2024 LSA Amendment Warrants are therefore required to be initially and subsequently measured at fair value with changes in fair value presented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Pre-PIPE Bridge Warrants and Pre-Funded PIPE Warrants were determined to meet the criteria for liability classification pursuant to ASC 815 because certain settlement adjustments prevent them from meeting the fixed-for-fixed equity classification criteria. The Pre-PIPE Bridge Warrants and Pre-Funded PIPE Warrants are therefore required to be initially and subsequently measured at fair value with changes in fair value presented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and in accordance with the terms thereof, the holder of 2024 LSA Warrants elected to exchange all of the 2024 LSA Warrants with a fair value of $1,769 for Pre-PIPE Bridge Notes and accompanying Pre-PIPE Bridge Warrants with fair values of $1,131 and $3,957, respectively. The loss of $3,320 was recognized in loss on exchange of warrant liabilities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recorded a loss on the change in fair value of warrant liabilities of $2,357 and $265, respectively. Refer to Note 4. Fair Value Measurements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outstanding warrants to purchase the Company’s redeemable convertible preferred stock and common stock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9"/>
        <w:gridCol w:w="60"/>
        <w:gridCol w:w="67"/>
        <w:gridCol w:w="1108"/>
        <w:gridCol w:w="60"/>
        <w:gridCol w:w="60"/>
        <w:gridCol w:w="3295"/>
        <w:gridCol w:w="60"/>
        <w:gridCol w:w="162"/>
        <w:gridCol w:w="794"/>
        <w:gridCol w:w="60"/>
        <w:gridCol w:w="60"/>
        <w:gridCol w:w="61"/>
        <w:gridCol w:w="1551"/>
        <w:gridCol w:w="78"/>
      </w:tblGrid>
      <w:tr>
        <w:trPr/>
        <w:tc>
          <w:tcPr>
            <w:tcW w:w="272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br/>
              <w:t>Underlying</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5" w:type="dxa"/>
            <w:tcBorders>
              <w:bottom w:val="single" w:sz="12" w:space="0" w:color="000000"/>
            </w:tcBorders>
            <w:tcMar>
              <w:bottom w:w="28" w:type="dxa"/>
            </w:tcMar>
            <w:vAlign w:val="center"/>
          </w:tcPr>
          <w:p>
            <w:pPr>
              <w:pStyle w:val="TableContents"/>
              <w:bidi w:val="0"/>
              <w:spacing w:before="0" w:after="283"/>
              <w:jc w:val="center"/>
              <w:rPr>
                <w:b/>
              </w:rPr>
            </w:pPr>
            <w:r>
              <w:rPr>
                <w:b/>
              </w:rPr>
              <w:t>Class of Underlying</w:t>
              <w:br/>
              <w:t>Warrant Shares</w:t>
            </w:r>
          </w:p>
        </w:tc>
        <w:tc>
          <w:tcPr>
            <w:tcW w:w="60" w:type="dxa"/>
            <w:tcBorders/>
            <w:vAlign w:val="center"/>
          </w:tcPr>
          <w:p>
            <w:pPr>
              <w:pStyle w:val="TableContents"/>
              <w:bidi w:val="0"/>
              <w:spacing w:before="0" w:after="283"/>
              <w:jc w:val="left"/>
              <w:rPr/>
            </w:pPr>
            <w:r>
              <w:rPr/>
              <w:t> </w:t>
            </w:r>
          </w:p>
        </w:tc>
        <w:tc>
          <w:tcPr>
            <w:tcW w:w="9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Expiration Date</w:t>
            </w:r>
          </w:p>
        </w:tc>
        <w:tc>
          <w:tcPr>
            <w:tcW w:w="78" w:type="dxa"/>
            <w:tcBorders/>
            <w:vAlign w:val="center"/>
          </w:tcPr>
          <w:p>
            <w:pPr>
              <w:pStyle w:val="TableContents"/>
              <w:bidi w:val="0"/>
              <w:spacing w:before="0" w:after="283"/>
              <w:ind w:left="0" w:right="0" w:hanging="180"/>
              <w:jc w:val="left"/>
              <w:rPr/>
            </w:pPr>
            <w:r>
              <w:rPr/>
              <w:t> </w:t>
            </w:r>
          </w:p>
        </w:tc>
      </w:tr>
      <w:tr>
        <w:trPr/>
        <w:tc>
          <w:tcPr>
            <w:tcW w:w="27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2019 LSA Warrants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144,926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5" w:type="dxa"/>
            <w:tcBorders/>
            <w:shd w:fill="CCEEFF" w:val="clear"/>
            <w:vAlign w:val="center"/>
          </w:tcPr>
          <w:p>
            <w:pPr>
              <w:pStyle w:val="TableContents"/>
              <w:bidi w:val="0"/>
              <w:spacing w:before="0" w:after="283"/>
              <w:jc w:val="left"/>
              <w:rPr/>
            </w:pPr>
            <w:r>
              <w:rPr/>
              <w:t>Series Seed Prime or Series A Prime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794" w:type="dxa"/>
            <w:tcBorders/>
            <w:shd w:fill="CCEEFF" w:val="clear"/>
            <w:vAlign w:val="center"/>
          </w:tcPr>
          <w:p>
            <w:pPr>
              <w:pStyle w:val="TableContents"/>
              <w:bidi w:val="0"/>
              <w:spacing w:before="0" w:after="283"/>
              <w:jc w:val="right"/>
              <w:rPr/>
            </w:pPr>
            <w:r>
              <w:rPr/>
              <w:t>1.035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January 31, 2030</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2729" w:type="dxa"/>
            <w:tcBorders/>
            <w:shd w:fill="FFFFFF" w:val="clear"/>
            <w:vAlign w:val="center"/>
          </w:tcPr>
          <w:p>
            <w:pPr>
              <w:pStyle w:val="TableContents"/>
              <w:bidi w:val="0"/>
              <w:spacing w:before="0" w:after="283"/>
              <w:jc w:val="left"/>
              <w:rPr/>
            </w:pPr>
            <w:r>
              <w:rPr/>
              <w:t>2021 LSA Warrants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81,188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5" w:type="dxa"/>
            <w:tcBorders/>
            <w:shd w:fill="FFFFFF" w:val="clear"/>
            <w:vAlign w:val="center"/>
          </w:tcPr>
          <w:p>
            <w:pPr>
              <w:pStyle w:val="TableContents"/>
              <w:bidi w:val="0"/>
              <w:spacing w:before="0" w:after="283"/>
              <w:jc w:val="left"/>
              <w:rPr/>
            </w:pPr>
            <w:r>
              <w:rPr/>
              <w:t>Series B Prime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w:t>
            </w:r>
          </w:p>
        </w:tc>
        <w:tc>
          <w:tcPr>
            <w:tcW w:w="794" w:type="dxa"/>
            <w:tcBorders/>
            <w:shd w:fill="FFFFFF" w:val="clear"/>
            <w:vAlign w:val="center"/>
          </w:tcPr>
          <w:p>
            <w:pPr>
              <w:pStyle w:val="TableContents"/>
              <w:bidi w:val="0"/>
              <w:spacing w:before="0" w:after="283"/>
              <w:jc w:val="right"/>
              <w:rPr/>
            </w:pPr>
            <w:r>
              <w:rPr/>
              <w:t>4.927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March 31, 2037</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27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2024 LSA Amendment Warrants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5" w:type="dxa"/>
            <w:tcBorders/>
            <w:shd w:fill="CCEEFF" w:val="clear"/>
            <w:vAlign w:val="center"/>
          </w:tcPr>
          <w:p>
            <w:pPr>
              <w:pStyle w:val="TableContents"/>
              <w:bidi w:val="0"/>
              <w:spacing w:before="0" w:after="283"/>
              <w:jc w:val="left"/>
              <w:rPr/>
            </w:pPr>
            <w:r>
              <w:rPr/>
              <w:t>Series Next or Series Subsequent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7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November 1, 2039</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27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Pre-PIPE Bridge Warrants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3,063,248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5"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w:t>
            </w:r>
          </w:p>
        </w:tc>
        <w:tc>
          <w:tcPr>
            <w:tcW w:w="794" w:type="dxa"/>
            <w:tcBorders/>
            <w:shd w:fill="FFFFFF" w:val="clear"/>
            <w:vAlign w:val="center"/>
          </w:tcPr>
          <w:p>
            <w:pPr>
              <w:pStyle w:val="TableContents"/>
              <w:bidi w:val="0"/>
              <w:spacing w:before="0" w:after="283"/>
              <w:jc w:val="right"/>
              <w:rPr/>
            </w:pPr>
            <w:r>
              <w:rPr/>
              <w:t>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27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Pre-Funded PIPE Warrants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6,549,931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794" w:type="dxa"/>
            <w:tcBorders/>
            <w:shd w:fill="CCEEFF" w:val="clear"/>
            <w:vAlign w:val="center"/>
          </w:tcPr>
          <w:p>
            <w:pPr>
              <w:pStyle w:val="TableContents"/>
              <w:bidi w:val="0"/>
              <w:spacing w:before="0" w:after="283"/>
              <w:jc w:val="right"/>
              <w:rPr/>
            </w:pPr>
            <w:r>
              <w:rPr/>
              <w:t>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underlying the 2019 LSA Warrants assumes that the holders choose to exercise their warrants into shares of Series Seed Prime redeemable convertible preferred stock, as this exercise scenario is most beneficial to the warrant 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underlying the 2024 LSA Amendment Warrants and their exercise price per share cannot currently be determined because the warrants are not exercisable and remain contingent upon the pricing of the next round of preferred stock financing or any subsequent round.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Pre-PIPE Bridge and Pre-Funded PIPE Warrants only become exercisable upon the termination of the BCA and expire on the fifth anniversary of the termination of the BCA.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warrants issued by the Company may be exercised, at the holders’ option, via the delivery of cash or on a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Redeemable Convertible Preferred Stock and Stockholders’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44,705,861 shares of $0.0001 par value common stock authorized. The voting, dividend and liquidation rights of the common stockholders are subject to, and qualified by, the rights, powers and preferences of the preferred stockholders and as designated by resolution of the Board of Directors. The holders of the common stock are entitled to one vote for each share of common stock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39,399,611 shares of common stock are reserved for the conversion of preferred stock and exercise of 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Redeemable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and in connection with the Pre-PIPE Bridge Agreement, the Company entered into exchange agreements (“Exchange Agreements”) with the holders of the redeemable convertible preferred stock to effectuate a recapitalization of the Series Seed, Series A, Series A-1, Series B, and Series B-1 redeemable convertible preferred stock (collectively, “Legacy Preferred Stock”) into shares of Series Seed Prime, Series A Prime, Series A-1 Prime, Series B Prime, and Series B-1 Prime redeemable convertible preferred stock, respectively (collectively, “Prime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effectuate the conversions contemplated by the Exchange Agreements, the Company amended and restated its Certificate of Incorporation to add a contingent mandatory conversion feature to its redeemable convertible preferred stock (“Special Mandatory Conversion”) whereby if a holder of redeemable convertible preferred stock failed to purchase a minimum investment amount of Pre-PIPE Bridge Notes and Warrants, such redeemable convertible preferred stock held by the non-participating investor would automatically convert, on a ten-to-one basis, into shares of the Company’s common stock; otherwise, if the holder of redeemable convertible preferred stock satisfied its applicable minimum investment threshold contemplated by the Pre-PIPE Bridge Agreement, shares of redeemable convertible preferred stock held by such holder would be exchanged for shares of Prime Preferred Stock,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holders of Legacy Preferred Stock participating in the Pre-PIPE Bridge satisfied the minimum investment requirements under the Pre-PIPE Bridge Agreement and, therefore, pursuant to the Exchange Agreements, every ten shares of Legacy Preferred Stock held by the holders of Legacy Preferred Stock were converted into one share of the Company’s common stock and then converted on a one-to-ten basis into corresponding shares of Prime Preferred Stock. The exchange of Legacy Preferred Stock for Prime Preferred Stock was accounted for as an extinguishment, resulting in a deemed dividend of $345,717 being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541,846 shares of Series A Prime redeemable convertible preferred stock were converted pursuant to the contractual terms thereof into 541,846 shares of common stock. Immediately following the conversion, the holders thereof returned the 541,846 shares of common stock to the Company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Special Mandatory Conversion feature, the rights and preferences of the Legacy Preferred Stock are substantially similar to those of the Prime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authorized the following shares of $0.0001 par value redeemable convertible preferred stock:</w:t>
      </w:r>
    </w:p>
    <w:p>
      <w:pPr>
        <w:pStyle w:val="TextBody"/>
        <w:bidi w:val="0"/>
        <w:spacing w:before="0" w:after="0"/>
        <w:ind w:left="0" w:right="0" w:hanging="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4850"/>
        <w:gridCol w:w="60"/>
        <w:gridCol w:w="60"/>
        <w:gridCol w:w="1100"/>
        <w:gridCol w:w="75"/>
      </w:tblGrid>
      <w:tr>
        <w:trPr/>
        <w:tc>
          <w:tcPr>
            <w:tcW w:w="48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75"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Series Seed 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3,357,483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Series A 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8,034,960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Series A-1 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928,217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Series B 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6,420,288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Series B-1 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1,028,819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Total 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19,769,767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redeemable convertible preferred stock has the following rights and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all matters subject to the authorization of the holders of common stock, the holders of Preferred Stock are entitled to vote together with holders of common stock on an as-converted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redeemable convertible preferred stock are entitled to receive, on a pari passu basis and prior and in preference to holders of the Company’s common stock, an annual dividend in the amount of 8% of the applicable original issuance price. Such dividends are payable only if and when declared and are noncumulative. Holders of redeemable convertible preferred stock shall also be entitled to receive participating dividends, if and when declared on the Company’s common stock, on an as-converted basis. No dividends have been declared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liquidation, dissolution or winding up of the Company or upon the occurrence of a Deemed Liquidation Event (as defined in the Company’s Amended and Restated Certificate of Incorporation), the holders of the redeemable convertible preferred stock shall be entitled to receive, in preference to all common stockholders, an amount equal to the greater of (i) the applicable original issue price plus any declared but unpaid dividends thereon and (ii) the amount that would have been payable to the holder had all shares of redeemable convertible preferred stock been converted into common stock prior to such event. After payment has been made to the holders of the redeemable convertible preferred stock, the remaining assets available for distribution shall be distributed solely among the common stockholders on a pro rata basis based upon the number of shares held by each common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redeemable convertible preferred stock is convertible, at the holder’s option or mandatorily upon the occurrence of certain events (including qualifying public offerings, direct listings, and De-SPAC transactions, and upon the request of the majority holders of the redeemable convertible preferred stock voting together on an as-converted basis) into a fixed number of common stock at a conversion rate equal to (i) the applicable original issue price divided by (ii) the conversion price then in effect. The conversion price is subject to customary antidilution and down-round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redeemable convertible preferred stock is not redeemable except upon the occurrence of the liquidation, dissolution or winding up of the Company or upon the occurrence of a Deemed Liquidation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basic and diluted net loss per share. Unvested restricted stock awards are considered participating securities because they entitle holders to non-forfeitable rights to dividends during the vesting term. Under the two-class method, earnings of the Company are allocated between common stockholders and these participating securities based on the weighted-average number of shares of common stock and participating securities outstanding during the relevant period. The participating securities do not have a contractual obligation to share in the losses of the Company. Therefore, net loss is fully attributable to the Company’s common stockholders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net loss attributable to the Company’s common stockholders by the weighted-average number of shares outstanding during the period. As of periods beginning after March 31, 2024, the Company no longer had participating securities other than common stock, as all outstanding restricted stock had fully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loss per share is computed by dividing net loss attributable to the Company’s common stockholders by the weighted-average number of shares after adjusting for potential dilution related to the conversion of all dilutive securities into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numerators and denominators of the basic and diluted net loss computations for the Company’s common stock were calculated as follows:</w:t>
      </w:r>
    </w:p>
    <w:p>
      <w:pPr>
        <w:pStyle w:val="TextBody"/>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950"/>
        <w:gridCol w:w="60"/>
        <w:gridCol w:w="158"/>
        <w:gridCol w:w="1112"/>
        <w:gridCol w:w="107"/>
        <w:gridCol w:w="68"/>
        <w:gridCol w:w="158"/>
        <w:gridCol w:w="1112"/>
        <w:gridCol w:w="110"/>
      </w:tblGrid>
      <w:tr>
        <w:trPr/>
        <w:tc>
          <w:tcPr>
            <w:tcW w:w="69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ind w:left="0" w:right="0" w:hanging="180"/>
              <w:jc w:val="left"/>
              <w:rPr/>
            </w:pPr>
            <w:r>
              <w:rPr/>
              <w:t> </w:t>
            </w:r>
          </w:p>
        </w:tc>
      </w:tr>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6950"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270"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(74,778</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(55,253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950" w:type="dxa"/>
            <w:tcBorders/>
            <w:shd w:fill="FFFFFF" w:val="clear"/>
            <w:vAlign w:val="center"/>
          </w:tcPr>
          <w:p>
            <w:pPr>
              <w:pStyle w:val="TableContents"/>
              <w:bidi w:val="0"/>
              <w:spacing w:before="0" w:after="283"/>
              <w:jc w:val="left"/>
              <w:rPr/>
            </w:pPr>
            <w:r>
              <w:rPr/>
              <w:t>Deemed dividend on exchange of 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(345,717</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pPr>
            <w:r>
              <w:rPr/>
              <w:t>(420,495</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pPr>
            <w:r>
              <w:rPr/>
              <w:t>(55,253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50" w:type="dxa"/>
            <w:tcBorders/>
            <w:shd w:fill="FFFFFF" w:val="clear"/>
            <w:vAlign w:val="center"/>
          </w:tcPr>
          <w:p>
            <w:pPr>
              <w:pStyle w:val="TableContents"/>
              <w:bidi w:val="0"/>
              <w:spacing w:before="0" w:after="283"/>
              <w:jc w:val="left"/>
              <w:rPr/>
            </w:pPr>
            <w:r>
              <w:rPr/>
              <w:t>Weighted average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5,211,618</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5,118,223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50" w:type="dxa"/>
            <w:tcBorders/>
            <w:shd w:fill="FFFFFF" w:val="clear"/>
            <w:vAlign w:val="center"/>
          </w:tcPr>
          <w:p>
            <w:pPr>
              <w:pStyle w:val="TableContents"/>
              <w:bidi w:val="0"/>
              <w:spacing w:before="0" w:after="283"/>
              <w:jc w:val="left"/>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112" w:type="dxa"/>
            <w:tcBorders/>
            <w:shd w:fill="FFFFFF" w:val="clear"/>
            <w:vAlign w:val="center"/>
          </w:tcPr>
          <w:p>
            <w:pPr>
              <w:pStyle w:val="TableContents"/>
              <w:bidi w:val="0"/>
              <w:spacing w:before="0" w:after="283"/>
              <w:jc w:val="right"/>
              <w:rPr/>
            </w:pPr>
            <w:r>
              <w:rPr/>
              <w:t>(80.68</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112" w:type="dxa"/>
            <w:tcBorders/>
            <w:shd w:fill="FFFFFF" w:val="clear"/>
            <w:vAlign w:val="center"/>
          </w:tcPr>
          <w:p>
            <w:pPr>
              <w:pStyle w:val="TableContents"/>
              <w:bidi w:val="0"/>
              <w:spacing w:before="0" w:after="283"/>
              <w:jc w:val="right"/>
              <w:rPr/>
            </w:pPr>
            <w:r>
              <w:rPr/>
              <w:t>(10.80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outstanding potentially dilutive common stock equivalents have been excluded from the computation of diluted net loss per share for the periods presented due to their anti-dilutive effect:</w:t>
      </w:r>
    </w:p>
    <w:p>
      <w:pPr>
        <w:pStyle w:val="TextBody"/>
        <w:bidi w:val="0"/>
        <w:spacing w:before="0" w:after="0"/>
        <w:ind w:left="0" w:right="0" w:hanging="0"/>
        <w:jc w:val="both"/>
        <w:rPr>
          <w:caps w:val="false"/>
          <w:smallCaps w:val="false"/>
        </w:rPr>
      </w:pPr>
      <w:r>
        <w:rPr>
          <w:caps w:val="false"/>
          <w:smallCaps w:val="false"/>
        </w:rPr>
        <w:t> </w:t>
      </w:r>
    </w:p>
    <w:tbl>
      <w:tblPr>
        <w:tblW w:w="6636" w:type="dxa"/>
        <w:jc w:val="left"/>
        <w:tblInd w:w="0" w:type="dxa"/>
        <w:tblLayout w:type="fixed"/>
        <w:tblCellMar>
          <w:top w:w="0" w:type="dxa"/>
          <w:left w:w="0" w:type="dxa"/>
          <w:bottom w:w="0" w:type="dxa"/>
          <w:right w:w="0" w:type="dxa"/>
        </w:tblCellMar>
      </w:tblPr>
      <w:tblGrid>
        <w:gridCol w:w="3785"/>
        <w:gridCol w:w="60"/>
        <w:gridCol w:w="66"/>
        <w:gridCol w:w="1226"/>
        <w:gridCol w:w="66"/>
        <w:gridCol w:w="66"/>
        <w:gridCol w:w="66"/>
        <w:gridCol w:w="1226"/>
        <w:gridCol w:w="75"/>
      </w:tblGrid>
      <w:tr>
        <w:trPr/>
        <w:tc>
          <w:tcPr>
            <w:tcW w:w="378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ind w:left="0" w:right="0" w:hanging="180"/>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3785" w:type="dxa"/>
            <w:tcBorders/>
            <w:shd w:fill="CCEEFF" w:val="clear"/>
            <w:vAlign w:val="center"/>
          </w:tcPr>
          <w:p>
            <w:pPr>
              <w:pStyle w:val="TableContents"/>
              <w:bidi w:val="0"/>
              <w:spacing w:before="0" w:after="283"/>
              <w:jc w:val="left"/>
              <w:rPr/>
            </w:pPr>
            <w:r>
              <w:rPr/>
              <w:t>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17,154,902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17,696,748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85" w:type="dxa"/>
            <w:tcBorders/>
            <w:shd w:fill="FFFFFF" w:val="clear"/>
            <w:vAlign w:val="center"/>
          </w:tcPr>
          <w:p>
            <w:pPr>
              <w:pStyle w:val="TableContents"/>
              <w:bidi w:val="0"/>
              <w:spacing w:before="0" w:after="283"/>
              <w:jc w:val="left"/>
              <w:rPr/>
            </w:pPr>
            <w:r>
              <w:rPr/>
              <w:t>Stock options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2,094,080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2,904,261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85"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8,119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7,104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85" w:type="dxa"/>
            <w:tcBorders/>
            <w:shd w:fill="FFFFFF" w:val="clear"/>
            <w:vAlign w:val="center"/>
          </w:tcPr>
          <w:p>
            <w:pPr>
              <w:pStyle w:val="TableContents"/>
              <w:bidi w:val="0"/>
              <w:spacing w:before="0" w:after="283"/>
              <w:jc w:val="left"/>
              <w:rPr/>
            </w:pPr>
            <w:r>
              <w:rPr/>
              <w:t>2019 LSA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144,296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144,926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85" w:type="dxa"/>
            <w:tcBorders/>
            <w:shd w:fill="CCEEFF" w:val="clear"/>
            <w:vAlign w:val="center"/>
          </w:tcPr>
          <w:p>
            <w:pPr>
              <w:pStyle w:val="TableContents"/>
              <w:bidi w:val="0"/>
              <w:spacing w:before="0" w:after="283"/>
              <w:jc w:val="left"/>
              <w:rPr/>
            </w:pPr>
            <w:r>
              <w:rPr/>
              <w:t>2021 LSA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81,188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81,188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85" w:type="dxa"/>
            <w:tcBorders/>
            <w:shd w:fill="FFFFFF" w:val="clear"/>
            <w:vAlign w:val="center"/>
          </w:tcPr>
          <w:p>
            <w:pPr>
              <w:pStyle w:val="TableContents"/>
              <w:bidi w:val="0"/>
              <w:spacing w:before="0" w:after="283"/>
              <w:jc w:val="left"/>
              <w:rPr/>
            </w:pPr>
            <w:r>
              <w:rPr/>
              <w:t>2024 LSA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224,710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85" w:type="dxa"/>
            <w:tcBorders/>
            <w:shd w:fill="CCEEFF" w:val="clear"/>
            <w:vAlign w:val="center"/>
          </w:tcPr>
          <w:p>
            <w:pPr>
              <w:pStyle w:val="TableContents"/>
              <w:bidi w:val="0"/>
              <w:spacing w:before="0" w:after="283"/>
              <w:jc w:val="left"/>
              <w:rPr/>
            </w:pPr>
            <w:r>
              <w:rPr/>
              <w:t>2024 LSA Conversion Feature</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214,010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214,010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85" w:type="dxa"/>
            <w:tcBorders/>
            <w:shd w:fill="FFFFFF" w:val="clear"/>
            <w:vAlign w:val="center"/>
          </w:tcPr>
          <w:p>
            <w:pPr>
              <w:pStyle w:val="TableContents"/>
              <w:bidi w:val="0"/>
              <w:spacing w:before="0" w:after="283"/>
              <w:jc w:val="left"/>
              <w:rPr/>
            </w:pPr>
            <w:r>
              <w:rPr/>
              <w:t>Pre-PIPE Bridge Notes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1,127,531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85" w:type="dxa"/>
            <w:tcBorders/>
            <w:shd w:fill="CCEEFF" w:val="clear"/>
            <w:vAlign w:val="center"/>
          </w:tcPr>
          <w:p>
            <w:pPr>
              <w:pStyle w:val="TableContents"/>
              <w:bidi w:val="0"/>
              <w:spacing w:before="0" w:after="283"/>
              <w:jc w:val="left"/>
              <w:rPr/>
            </w:pPr>
            <w:r>
              <w:rPr/>
              <w:t>Pre-Funded PIPE Notes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CCEEFF" w:val="clear"/>
            <w:tcMar>
              <w:bottom w:w="28" w:type="dxa"/>
            </w:tcMar>
            <w:vAlign w:val="center"/>
          </w:tcPr>
          <w:p>
            <w:pPr>
              <w:pStyle w:val="TableContents"/>
              <w:bidi w:val="0"/>
              <w:spacing w:before="0" w:after="283"/>
              <w:jc w:val="right"/>
              <w:rPr/>
            </w:pPr>
            <w:r>
              <w:rPr/>
              <w:t>3,077,192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10" w:space="0" w:color="000000"/>
            </w:tcBorders>
            <w:shd w:fill="FFFFFF" w:val="clear"/>
            <w:tcMar>
              <w:bottom w:w="28" w:type="dxa"/>
            </w:tcMar>
            <w:vAlign w:val="center"/>
          </w:tcPr>
          <w:p>
            <w:pPr>
              <w:pStyle w:val="TableContents"/>
              <w:bidi w:val="0"/>
              <w:spacing w:before="0" w:after="283"/>
              <w:jc w:val="right"/>
              <w:rPr/>
            </w:pPr>
            <w:r>
              <w:rPr/>
              <w:t>23,901,318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10" w:space="0" w:color="000000"/>
            </w:tcBorders>
            <w:shd w:fill="FFFFFF" w:val="clear"/>
            <w:tcMar>
              <w:bottom w:w="28" w:type="dxa"/>
            </w:tcMar>
            <w:vAlign w:val="center"/>
          </w:tcPr>
          <w:p>
            <w:pPr>
              <w:pStyle w:val="TableContents"/>
              <w:bidi w:val="0"/>
              <w:spacing w:before="0" w:after="283"/>
              <w:jc w:val="right"/>
              <w:rPr/>
            </w:pPr>
            <w:r>
              <w:rPr/>
              <w:t>21,272,947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2018, the Board of Directors adopted the Plan. Under the terms of the Plan, incentive stock options (“ISOs”) may be granted to employees of the Company and nonqualified stock options or restricted stock awards may be granted to directors, consultants, employees and officers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2018, the Company entered into a Restricted Stock Purchase Agreement (the “Restricted Stock Agreement”) with its CEO, pursuant to which the Company granted its CEO the right to purchase 5,000,000 shares of $0.0001 par value restricted stock at a purchase price of $0.001 per share. As part of the Restricted Stock Agreement, the CEO also agreed to assign certain proprietary information and inventions to the Company. The restricted stock has all of the rights of Common Stock, including voting and 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Restricted Stock Agreement, 25% of the shares vested on January 1, 2019. Thereafter, 104,166 shares of restricted stock vested each month, such that the restricted stock became fully vested on January 1, 2022. The monthly vesting of restricted stock was contingent upon the CEO’s continued employment, consulting, advisor, director, or officer relationship with the Company at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2022, in connection with the issuance of the Series B redeemable convertible preferred stock, the Company entered into Amendment No. 1 to the Restricted Stock Agreement (“Amendment No. 1”) to amend the vesting schedule for the restricted stock. Pursuant to Amendment No. 1, 3,350,000 shares of restricted stock were vested as of March 10, 2022, and thereafter, 68,750 shares of restricted stock vested each month. Amendment No. 1 did not modify the service requirements for the vesting of restricted stock. As of December 31, 2025 and December 31, 2024 there was no restricted stock outstanding, as the restricted stock fully vested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did not recognize stock-based compensation expense related to the restricted stock, as the expense measured at the grant date was fully recognized over the original vesting period and there was no incremental fair value as a result of Amendment No.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ISOs cannot be less than the fair value of the Company’s common stock on the date of grant or less than 110% of the fair value in the case of employees holding 10% or more of the voting stock of the Company. The options vest over a period determined by the Board of Directors, generally four years, and expire not more than 10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authorized common stock includes 3,348,975 shares of common stock reserved for the issuance of options under the Plan, of which 948,645 shares are available for future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under the Plan during the year ended December 31, 2025 was as follows:</w:t>
      </w:r>
    </w:p>
    <w:p>
      <w:pPr>
        <w:pStyle w:val="TextBody"/>
        <w:bidi w:val="0"/>
        <w:spacing w:before="0" w:after="0"/>
        <w:ind w:left="0" w:right="0" w:hanging="0"/>
        <w:jc w:val="both"/>
        <w:rPr>
          <w:caps w:val="false"/>
          <w:smallCaps w:val="false"/>
        </w:rPr>
      </w:pPr>
      <w:r>
        <w:rPr>
          <w:caps w:val="false"/>
          <w:smallCaps w:val="false"/>
        </w:rPr>
        <w:t> </w:t>
      </w:r>
    </w:p>
    <w:tbl>
      <w:tblPr>
        <w:tblW w:w="8353" w:type="dxa"/>
        <w:jc w:val="left"/>
        <w:tblInd w:w="0" w:type="dxa"/>
        <w:tblLayout w:type="fixed"/>
        <w:tblCellMar>
          <w:top w:w="0" w:type="dxa"/>
          <w:left w:w="0" w:type="dxa"/>
          <w:bottom w:w="0" w:type="dxa"/>
          <w:right w:w="0" w:type="dxa"/>
        </w:tblCellMar>
      </w:tblPr>
      <w:tblGrid>
        <w:gridCol w:w="3350"/>
        <w:gridCol w:w="60"/>
        <w:gridCol w:w="65"/>
        <w:gridCol w:w="1064"/>
        <w:gridCol w:w="95"/>
        <w:gridCol w:w="60"/>
        <w:gridCol w:w="208"/>
        <w:gridCol w:w="832"/>
        <w:gridCol w:w="60"/>
        <w:gridCol w:w="60"/>
        <w:gridCol w:w="370"/>
        <w:gridCol w:w="864"/>
        <w:gridCol w:w="60"/>
        <w:gridCol w:w="60"/>
        <w:gridCol w:w="182"/>
        <w:gridCol w:w="888"/>
        <w:gridCol w:w="75"/>
      </w:tblGrid>
      <w:tr>
        <w:trPr/>
        <w:tc>
          <w:tcPr>
            <w:tcW w:w="33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w:t>
            </w:r>
          </w:p>
        </w:tc>
        <w:tc>
          <w:tcPr>
            <w:tcW w:w="7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2,904,261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7,083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227,193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12.88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(136,438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2,196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(489,169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(411,767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shd w:fill="FFFFFF" w:val="clear"/>
            <w:vAlign w:val="center"/>
          </w:tcPr>
          <w:p>
            <w:pPr>
              <w:pStyle w:val="TableContents"/>
              <w:bidi w:val="0"/>
              <w:spacing w:before="0" w:after="283"/>
              <w:jc w:val="left"/>
              <w:rPr/>
            </w:pPr>
            <w:r>
              <w:rPr/>
              <w:t>Outstanding at December 31, 2025</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FFFFFF" w:val="clear"/>
            <w:tcMar>
              <w:bottom w:w="28" w:type="dxa"/>
            </w:tcMar>
            <w:vAlign w:val="center"/>
          </w:tcPr>
          <w:p>
            <w:pPr>
              <w:pStyle w:val="TableContents"/>
              <w:bidi w:val="0"/>
              <w:spacing w:before="0" w:after="283"/>
              <w:jc w:val="right"/>
              <w:rPr/>
            </w:pPr>
            <w:r>
              <w:rPr/>
              <w:t>2,094,080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34,460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Exercisable at December 31, 2025</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1,647,121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28,779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grant-date fair value of options granted during the years ended December 31, 2025 and 2024 amounted to $6.17 and $3.77,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option holders of the Company exercised 136,438 and 80,845 common stock options, respectively, in exchange for cash proceeds of $391 and $66,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intrinsic value of options exercised during the years ended December 31, 2025 and 2024 amounted to $2,196 and $537,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stock-based compensation expense amounted to approximately $1,695 and $1,739, respectively, which is included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is approximately $2,006 of unrecognized compensation expense related to unvested stock-based compensation arrangements granted under the Plan. That cost is expected to be recognized over a weighted average period of 2.15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Black-Scholes option-pricing model to value option grants on the date of grant and to determine the related compensation expense. The assumptions used in calculating the fair value of stock-based payment awards represent management’s best estimations. The Company bases its expected volatility on the volatilities of certain publicly-traded peer companies. The Company is a privately-held company and therefore lacks company-specific historical and implied volatility information. The Company intends to continue to consistently use the same group of publicly traded peer companies to determine volatility in the future until such time that sufficient information regarding the volatility of the Company’s share price becomes available or that the selected companies are no longer suitable for this purpose. The risk-free interest rate used for each grant is equal to the U.S. Treasury yield curve in effect at the time of grant for instruments with a similar expected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of options granted is determined based on the average of the vesting term and the contractual lives of all options awarded. The expected dividend yield assumption is based on the Company’s history and expectation of dividend payouts.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exercise prices for options granted, the Company has considered the fair value of the common stock as of the measurement date. The fair value of the common stock has been determined by management with consideration to a third-party valuation, which contemplates a broad range of factors, including the illiquid nature of the investment in the Company’s common stock, the Company’s historical financial performance and financial position, the Company’s future prospects and opportunity for liquidity events and recent sale and offer prices of common and redeemable convertible preferred stock, if any, in private transactions negotiated at arm’s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assumptions used in determining the fair value of the stock-based awards:</w:t>
      </w:r>
    </w:p>
    <w:p>
      <w:pPr>
        <w:pStyle w:val="TextBody"/>
        <w:bidi w:val="0"/>
        <w:spacing w:before="0" w:after="0"/>
        <w:ind w:left="0" w:right="0" w:hanging="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780"/>
        <w:gridCol w:w="60"/>
        <w:gridCol w:w="60"/>
        <w:gridCol w:w="1340"/>
        <w:gridCol w:w="215"/>
        <w:gridCol w:w="60"/>
        <w:gridCol w:w="60"/>
        <w:gridCol w:w="1340"/>
        <w:gridCol w:w="230"/>
      </w:tblGrid>
      <w:tr>
        <w:trPr/>
        <w:tc>
          <w:tcPr>
            <w:tcW w:w="278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15"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230" w:type="dxa"/>
            <w:tcBorders/>
            <w:vAlign w:val="center"/>
          </w:tcPr>
          <w:p>
            <w:pPr>
              <w:pStyle w:val="TableContents"/>
              <w:bidi w:val="0"/>
              <w:spacing w:before="0" w:after="283"/>
              <w:ind w:left="0" w:right="0" w:hanging="180"/>
              <w:jc w:val="center"/>
              <w:rPr/>
            </w:pPr>
            <w:r>
              <w:rPr/>
              <w:t> </w:t>
            </w:r>
          </w:p>
        </w:tc>
      </w:tr>
      <w:tr>
        <w:trPr/>
        <w:tc>
          <w:tcPr>
            <w:tcW w:w="27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2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230" w:type="dxa"/>
            <w:tcBorders/>
            <w:shd w:fill="FFFFFF" w:val="clear"/>
            <w:vAlign w:val="center"/>
          </w:tcPr>
          <w:p>
            <w:pPr>
              <w:pStyle w:val="TableContents"/>
              <w:bidi w:val="0"/>
              <w:spacing w:before="0" w:after="283"/>
              <w:ind w:left="0" w:right="0" w:hanging="180"/>
              <w:jc w:val="center"/>
              <w:rPr/>
            </w:pPr>
            <w:r>
              <w:rPr/>
              <w:t> </w:t>
            </w:r>
          </w:p>
        </w:tc>
      </w:tr>
      <w:tr>
        <w:trPr/>
        <w:tc>
          <w:tcPr>
            <w:tcW w:w="278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3.69%-4.06%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3.59%-4.65%</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278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78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41.76%-47.48%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42.12%-47.06%</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2780" w:type="dxa"/>
            <w:tcBorders/>
            <w:shd w:fill="FFFFFF" w:val="clear"/>
            <w:vAlign w:val="center"/>
          </w:tcPr>
          <w:p>
            <w:pPr>
              <w:pStyle w:val="TableContents"/>
              <w:bidi w:val="0"/>
              <w:spacing w:before="0" w:after="283"/>
              <w:jc w:val="left"/>
              <w:rPr/>
            </w:pPr>
            <w:r>
              <w:rPr/>
              <w:t>Expected life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5.12-6.06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5.00-6.06</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2780" w:type="dxa"/>
            <w:tcBorders/>
            <w:shd w:fill="CCEEFF" w:val="clear"/>
            <w:vAlign w:val="center"/>
          </w:tcPr>
          <w:p>
            <w:pPr>
              <w:pStyle w:val="TableContents"/>
              <w:bidi w:val="0"/>
              <w:spacing w:before="0" w:after="283"/>
              <w:jc w:val="left"/>
              <w:rPr/>
            </w:pPr>
            <w:r>
              <w:rPr/>
              <w:t>Fair value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$3.60-$11.05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$7.41-$7.63</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related to stock-based compensation is recognized over the vesting period of the options. The Company has elected to recognize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 expense as presented within the consolidated statements of operations was as follows:</w:t>
      </w:r>
    </w:p>
    <w:p>
      <w:pPr>
        <w:pStyle w:val="TextBody"/>
        <w:bidi w:val="0"/>
        <w:spacing w:before="0" w:after="0"/>
        <w:ind w:left="0" w:right="0" w:hanging="0"/>
        <w:jc w:val="both"/>
        <w:rPr>
          <w:caps w:val="false"/>
          <w:smallCaps w:val="false"/>
        </w:rPr>
      </w:pPr>
      <w:r>
        <w:rPr>
          <w:caps w:val="false"/>
          <w:smallCaps w:val="false"/>
        </w:rPr>
        <w:t> </w:t>
      </w:r>
    </w:p>
    <w:tbl>
      <w:tblPr>
        <w:tblW w:w="5438" w:type="dxa"/>
        <w:jc w:val="left"/>
        <w:tblInd w:w="0" w:type="dxa"/>
        <w:tblLayout w:type="fixed"/>
        <w:tblCellMar>
          <w:top w:w="0" w:type="dxa"/>
          <w:left w:w="0" w:type="dxa"/>
          <w:bottom w:w="0" w:type="dxa"/>
          <w:right w:w="0" w:type="dxa"/>
        </w:tblCellMar>
      </w:tblPr>
      <w:tblGrid>
        <w:gridCol w:w="2585"/>
        <w:gridCol w:w="60"/>
        <w:gridCol w:w="250"/>
        <w:gridCol w:w="1002"/>
        <w:gridCol w:w="107"/>
        <w:gridCol w:w="107"/>
        <w:gridCol w:w="250"/>
        <w:gridCol w:w="1002"/>
        <w:gridCol w:w="75"/>
      </w:tblGrid>
      <w:tr>
        <w:trPr/>
        <w:tc>
          <w:tcPr>
            <w:tcW w:w="258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ind w:left="0" w:right="0" w:hanging="180"/>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258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364</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58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1,068</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1,315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250</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325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585"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5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1,695</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1,739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provision for income taxes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3710"/>
        <w:gridCol w:w="60"/>
        <w:gridCol w:w="195"/>
        <w:gridCol w:w="1055"/>
        <w:gridCol w:w="132"/>
        <w:gridCol w:w="83"/>
        <w:gridCol w:w="195"/>
        <w:gridCol w:w="1055"/>
        <w:gridCol w:w="110"/>
      </w:tblGrid>
      <w:tr>
        <w:trPr/>
        <w:tc>
          <w:tcPr>
            <w:tcW w:w="37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ind w:left="0" w:right="0" w:hanging="180"/>
              <w:jc w:val="left"/>
              <w:rPr/>
            </w:pPr>
            <w:r>
              <w:rPr/>
              <w:t> </w:t>
            </w:r>
          </w:p>
        </w:tc>
      </w:tr>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371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(74,882</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(56,130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71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154</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1,228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710" w:type="dxa"/>
            <w:tcBorders/>
            <w:shd w:fill="CCEEFF" w:val="clear"/>
            <w:vAlign w:val="center"/>
          </w:tcPr>
          <w:p>
            <w:pPr>
              <w:pStyle w:val="TableContents"/>
              <w:bidi w:val="0"/>
              <w:spacing w:before="0" w:after="283"/>
              <w:jc w:val="left"/>
              <w:rPr/>
            </w:pPr>
            <w:r>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(74,728</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(54,902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5948" w:type="dxa"/>
        <w:jc w:val="left"/>
        <w:tblInd w:w="0" w:type="dxa"/>
        <w:tblLayout w:type="fixed"/>
        <w:tblCellMar>
          <w:top w:w="0" w:type="dxa"/>
          <w:left w:w="0" w:type="dxa"/>
          <w:bottom w:w="0" w:type="dxa"/>
          <w:right w:w="0" w:type="dxa"/>
        </w:tblCellMar>
      </w:tblPr>
      <w:tblGrid>
        <w:gridCol w:w="3095"/>
        <w:gridCol w:w="60"/>
        <w:gridCol w:w="366"/>
        <w:gridCol w:w="678"/>
        <w:gridCol w:w="154"/>
        <w:gridCol w:w="154"/>
        <w:gridCol w:w="366"/>
        <w:gridCol w:w="1000"/>
        <w:gridCol w:w="75"/>
      </w:tblGrid>
      <w:tr>
        <w:trPr/>
        <w:tc>
          <w:tcPr>
            <w:tcW w:w="309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3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3095" w:type="dxa"/>
            <w:tcBorders/>
            <w:vAlign w:val="center"/>
          </w:tcPr>
          <w:p>
            <w:pPr>
              <w:pStyle w:val="TableContents"/>
              <w:bidi w:val="0"/>
              <w:spacing w:before="0" w:after="283"/>
              <w:jc w:val="left"/>
              <w:rPr/>
            </w:pPr>
            <w:r>
              <w:rPr/>
              <w:t>Current:</w:t>
            </w:r>
          </w:p>
        </w:tc>
        <w:tc>
          <w:tcPr>
            <w:tcW w:w="60" w:type="dxa"/>
            <w:tcBorders/>
            <w:vAlign w:val="center"/>
          </w:tcPr>
          <w:p>
            <w:pPr>
              <w:pStyle w:val="TableContents"/>
              <w:bidi w:val="0"/>
              <w:spacing w:before="0" w:after="283"/>
              <w:jc w:val="left"/>
              <w:rPr/>
            </w:pPr>
            <w:r>
              <w:rPr/>
              <w:t> </w:t>
            </w:r>
          </w:p>
        </w:tc>
        <w:tc>
          <w:tcPr>
            <w:tcW w:w="1044" w:type="dxa"/>
            <w:gridSpan w:val="2"/>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Foreign</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w:t>
            </w:r>
          </w:p>
        </w:tc>
        <w:tc>
          <w:tcPr>
            <w:tcW w:w="678" w:type="dxa"/>
            <w:tcBorders/>
            <w:shd w:fill="CCEEFF" w:val="clear"/>
            <w:vAlign w:val="center"/>
          </w:tcPr>
          <w:p>
            <w:pPr>
              <w:pStyle w:val="TableContents"/>
              <w:bidi w:val="0"/>
              <w:spacing w:before="0" w:after="283"/>
              <w:jc w:val="right"/>
              <w:rPr/>
            </w:pPr>
            <w:r>
              <w:rPr/>
              <w:t>48</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332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3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8"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3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shd w:fill="FFFFFF" w:val="clear"/>
            <w:vAlign w:val="center"/>
          </w:tcPr>
          <w:p>
            <w:pPr>
              <w:pStyle w:val="TableContents"/>
              <w:bidi w:val="0"/>
              <w:spacing w:before="0" w:after="283"/>
              <w:jc w:val="left"/>
              <w:rPr/>
            </w:pPr>
            <w:r>
              <w:rPr/>
              <w:t>Total current provision</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50</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351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Deferred:</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3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3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Total deferred provision</w:t>
            </w:r>
          </w:p>
        </w:tc>
        <w:tc>
          <w:tcPr>
            <w:tcW w:w="60" w:type="dxa"/>
            <w:tcBorders/>
            <w:shd w:fill="CCEEFF" w:val="clear"/>
            <w:vAlign w:val="center"/>
          </w:tcPr>
          <w:p>
            <w:pPr>
              <w:pStyle w:val="TableContents"/>
              <w:bidi w:val="0"/>
              <w:spacing w:before="0" w:after="283"/>
              <w:jc w:val="left"/>
              <w:rPr/>
            </w:pPr>
            <w:r>
              <w:rPr/>
              <w:t> </w:t>
            </w:r>
          </w:p>
        </w:tc>
        <w:tc>
          <w:tcPr>
            <w:tcW w:w="3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3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shd w:fill="FFFFFF" w:val="clear"/>
            <w:vAlign w:val="center"/>
          </w:tcPr>
          <w:p>
            <w:pPr>
              <w:pStyle w:val="TableContents"/>
              <w:bidi w:val="0"/>
              <w:spacing w:before="0" w:after="283"/>
              <w:jc w:val="left"/>
              <w:rPr/>
            </w:pPr>
            <w:r>
              <w:rPr/>
              <w:t>Total provision for income taxes</w:t>
            </w:r>
          </w:p>
        </w:tc>
        <w:tc>
          <w:tcPr>
            <w:tcW w:w="60" w:type="dxa"/>
            <w:tcBorders/>
            <w:shd w:fill="FFFFFF" w:val="clear"/>
            <w:vAlign w:val="center"/>
          </w:tcPr>
          <w:p>
            <w:pPr>
              <w:pStyle w:val="TableContents"/>
              <w:bidi w:val="0"/>
              <w:spacing w:before="0" w:after="283"/>
              <w:jc w:val="left"/>
              <w:rPr/>
            </w:pPr>
            <w:r>
              <w:rPr/>
              <w:t> </w:t>
            </w:r>
          </w:p>
        </w:tc>
        <w:tc>
          <w:tcPr>
            <w:tcW w:w="36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78" w:type="dxa"/>
            <w:tcBorders>
              <w:bottom w:val="double" w:sz="10" w:space="0" w:color="000000"/>
            </w:tcBorders>
            <w:shd w:fill="FFFFFF" w:val="clear"/>
            <w:tcMar>
              <w:bottom w:w="28" w:type="dxa"/>
            </w:tcMar>
            <w:vAlign w:val="center"/>
          </w:tcPr>
          <w:p>
            <w:pPr>
              <w:pStyle w:val="TableContents"/>
              <w:bidi w:val="0"/>
              <w:spacing w:before="0" w:after="283"/>
              <w:jc w:val="right"/>
              <w:rPr/>
            </w:pPr>
            <w:r>
              <w:rPr/>
              <w:t>50</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36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double" w:sz="10" w:space="0" w:color="000000"/>
            </w:tcBorders>
            <w:shd w:fill="FFFFFF" w:val="clear"/>
            <w:tcMar>
              <w:bottom w:w="28" w:type="dxa"/>
            </w:tcMar>
            <w:vAlign w:val="center"/>
          </w:tcPr>
          <w:p>
            <w:pPr>
              <w:pStyle w:val="TableContents"/>
              <w:bidi w:val="0"/>
              <w:spacing w:before="0" w:after="283"/>
              <w:jc w:val="right"/>
              <w:rPr/>
            </w:pPr>
            <w:r>
              <w:rPr/>
              <w:t>351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federal statutory income tax rate to the Company’s effective tax rate for the year ended December 31, 2025, after the adoption of ASU 2023-09 on a prospective basis, is as follows:</w:t>
      </w:r>
    </w:p>
    <w:p>
      <w:pPr>
        <w:pStyle w:val="TextBody"/>
        <w:bidi w:val="0"/>
        <w:spacing w:before="0" w:after="0"/>
        <w:ind w:left="0" w:right="0" w:hanging="0"/>
        <w:jc w:val="both"/>
        <w:rPr>
          <w:caps w:val="false"/>
          <w:smallCaps w:val="false"/>
        </w:rPr>
      </w:pPr>
      <w:r>
        <w:rPr>
          <w:caps w:val="false"/>
          <w:smallCaps w:val="false"/>
        </w:rPr>
        <w:t> </w:t>
      </w:r>
    </w:p>
    <w:tbl>
      <w:tblPr>
        <w:tblW w:w="7797" w:type="dxa"/>
        <w:jc w:val="left"/>
        <w:tblInd w:w="0" w:type="dxa"/>
        <w:tblLayout w:type="fixed"/>
        <w:tblCellMar>
          <w:top w:w="0" w:type="dxa"/>
          <w:left w:w="0" w:type="dxa"/>
          <w:bottom w:w="0" w:type="dxa"/>
          <w:right w:w="0" w:type="dxa"/>
        </w:tblCellMar>
      </w:tblPr>
      <w:tblGrid>
        <w:gridCol w:w="4715"/>
        <w:gridCol w:w="60"/>
        <w:gridCol w:w="218"/>
        <w:gridCol w:w="1176"/>
        <w:gridCol w:w="148"/>
        <w:gridCol w:w="93"/>
        <w:gridCol w:w="93"/>
        <w:gridCol w:w="989"/>
        <w:gridCol w:w="305"/>
      </w:tblGrid>
      <w:tr>
        <w:trPr/>
        <w:tc>
          <w:tcPr>
            <w:tcW w:w="47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br/>
              <w:t>2025</w:t>
            </w:r>
          </w:p>
        </w:tc>
        <w:tc>
          <w:tcPr>
            <w:tcW w:w="305" w:type="dxa"/>
            <w:tcBorders/>
            <w:vAlign w:val="center"/>
          </w:tcPr>
          <w:p>
            <w:pPr>
              <w:pStyle w:val="TableContents"/>
              <w:bidi w:val="0"/>
              <w:spacing w:before="0" w:after="283"/>
              <w:ind w:left="0" w:right="0" w:hanging="180"/>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305" w:type="dxa"/>
            <w:tcBorders/>
            <w:vAlign w:val="center"/>
          </w:tcPr>
          <w:p>
            <w:pPr>
              <w:pStyle w:val="TableContents"/>
              <w:bidi w:val="0"/>
              <w:spacing w:before="0" w:after="283"/>
              <w:ind w:left="0" w:right="0" w:hanging="180"/>
              <w:jc w:val="left"/>
              <w:rPr/>
            </w:pPr>
            <w:r>
              <w:rPr/>
              <w:t> </w:t>
            </w:r>
          </w:p>
        </w:tc>
      </w:tr>
      <w:tr>
        <w:trPr/>
        <w:tc>
          <w:tcPr>
            <w:tcW w:w="4715" w:type="dxa"/>
            <w:tcBorders/>
            <w:shd w:fill="CCEEFF" w:val="clear"/>
            <w:vAlign w:val="center"/>
          </w:tcPr>
          <w:p>
            <w:pPr>
              <w:pStyle w:val="TableContents"/>
              <w:bidi w:val="0"/>
              <w:spacing w:before="0" w:after="283"/>
              <w:jc w:val="left"/>
              <w:rPr/>
            </w:pPr>
            <w:r>
              <w:rPr/>
              <w:t>U.S. federal statutory income tax (benefit) at 21%</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(15,693</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21.00</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4715" w:type="dxa"/>
            <w:tcBorders/>
            <w:shd w:fill="FFFFFF" w:val="clear"/>
            <w:vAlign w:val="center"/>
          </w:tcPr>
          <w:p>
            <w:pPr>
              <w:pStyle w:val="TableContents"/>
              <w:bidi w:val="0"/>
              <w:spacing w:before="0" w:after="283"/>
              <w:jc w:val="left"/>
              <w:rPr/>
            </w:pPr>
            <w:r>
              <w:rPr/>
              <w:t>Domestic federal:</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4715" w:type="dxa"/>
            <w:tcBorders/>
            <w:shd w:fill="CCEEFF" w:val="clear"/>
            <w:vAlign w:val="center"/>
          </w:tcPr>
          <w:p>
            <w:pPr>
              <w:pStyle w:val="TableContents"/>
              <w:bidi w:val="0"/>
              <w:spacing w:before="0" w:after="283"/>
              <w:jc w:val="left"/>
              <w:rPr/>
            </w:pPr>
            <w:r>
              <w:rPr/>
              <w:t>Tax credits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4715" w:type="dxa"/>
            <w:tcBorders/>
            <w:shd w:fill="FFFFFF" w:val="clear"/>
            <w:vAlign w:val="center"/>
          </w:tcPr>
          <w:p>
            <w:pPr>
              <w:pStyle w:val="TableContents"/>
              <w:bidi w:val="0"/>
              <w:spacing w:before="0" w:after="283"/>
              <w:jc w:val="left"/>
              <w:rPr/>
            </w:pPr>
            <w:r>
              <w:rPr/>
              <w:t>Research and development credits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(1,269</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1.70</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4715" w:type="dxa"/>
            <w:tcBorders/>
            <w:shd w:fill="CCEEFF" w:val="clear"/>
            <w:vAlign w:val="center"/>
          </w:tcPr>
          <w:p>
            <w:pPr>
              <w:pStyle w:val="TableContents"/>
              <w:bidi w:val="0"/>
              <w:spacing w:before="0" w:after="283"/>
              <w:jc w:val="left"/>
              <w:rPr/>
            </w:pPr>
            <w:r>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471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1,610</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(2.16</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4715" w:type="dxa"/>
            <w:tcBorders/>
            <w:shd w:fill="CCEEFF" w:val="clear"/>
            <w:vAlign w:val="center"/>
          </w:tcPr>
          <w:p>
            <w:pPr>
              <w:pStyle w:val="TableContents"/>
              <w:bidi w:val="0"/>
              <w:spacing w:before="0" w:after="283"/>
              <w:jc w:val="left"/>
              <w:rPr/>
            </w:pPr>
            <w:r>
              <w:rPr/>
              <w:t>Changes in valuation allowance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15,676</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(20.98</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4715" w:type="dxa"/>
            <w:tcBorders/>
            <w:shd w:fill="FFFFFF" w:val="clear"/>
            <w:vAlign w:val="center"/>
          </w:tcPr>
          <w:p>
            <w:pPr>
              <w:pStyle w:val="TableContents"/>
              <w:bidi w:val="0"/>
              <w:spacing w:before="0" w:after="283"/>
              <w:jc w:val="left"/>
              <w:rPr/>
            </w:pPr>
            <w:r>
              <w:rPr/>
              <w:t>Other reconciling items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(291</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0.39</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4715" w:type="dxa"/>
            <w:tcBorders/>
            <w:shd w:fill="CCEEFF" w:val="clear"/>
            <w:vAlign w:val="center"/>
          </w:tcPr>
          <w:p>
            <w:pPr>
              <w:pStyle w:val="TableContents"/>
              <w:bidi w:val="0"/>
              <w:spacing w:before="0" w:after="283"/>
              <w:jc w:val="left"/>
              <w:rPr/>
            </w:pPr>
            <w:r>
              <w:rPr/>
              <w:t>Domestic state: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4715" w:type="dxa"/>
            <w:tcBorders/>
            <w:shd w:fill="FFFFFF" w:val="clear"/>
            <w:vAlign w:val="center"/>
          </w:tcPr>
          <w:p>
            <w:pPr>
              <w:pStyle w:val="TableContents"/>
              <w:bidi w:val="0"/>
              <w:spacing w:before="0" w:after="283"/>
              <w:jc w:val="left"/>
              <w:rPr/>
            </w:pPr>
            <w:r>
              <w:rPr/>
              <w:t>State income taxes, net of federal effect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2</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4715"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471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(0.02</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4715"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6" w:type="dxa"/>
            <w:tcBorders>
              <w:bottom w:val="double" w:sz="10" w:space="0" w:color="000000"/>
            </w:tcBorders>
            <w:shd w:fill="CCEEFF" w:val="clear"/>
            <w:tcMar>
              <w:bottom w:w="28" w:type="dxa"/>
            </w:tcMar>
            <w:vAlign w:val="center"/>
          </w:tcPr>
          <w:p>
            <w:pPr>
              <w:pStyle w:val="TableContents"/>
              <w:bidi w:val="0"/>
              <w:spacing w:before="0" w:after="283"/>
              <w:jc w:val="right"/>
              <w:rPr/>
            </w:pPr>
            <w:r>
              <w:rPr/>
              <w:t>50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double" w:sz="10" w:space="0" w:color="000000"/>
            </w:tcBorders>
            <w:shd w:fill="CCEEFF" w:val="clear"/>
            <w:tcMar>
              <w:bottom w:w="28" w:type="dxa"/>
            </w:tcMar>
            <w:vAlign w:val="center"/>
          </w:tcPr>
          <w:p>
            <w:pPr>
              <w:pStyle w:val="TableContents"/>
              <w:bidi w:val="0"/>
              <w:spacing w:before="0" w:after="283"/>
              <w:jc w:val="right"/>
              <w:rPr/>
            </w:pPr>
            <w:r>
              <w:rPr/>
              <w:t>(0.07</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Massachusetts and California make up the majority (greater than 50 percent) of the state taxes, net of federal benefit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federal statutory income tax rate to the Company’s effective tax rate for the year ended December 31, 2024, prior to the adoption of ASU 2023-09, is as follows:</w:t>
      </w:r>
    </w:p>
    <w:p>
      <w:pPr>
        <w:pStyle w:val="TextBody"/>
        <w:bidi w:val="0"/>
        <w:spacing w:before="0" w:after="0"/>
        <w:ind w:left="0" w:right="0" w:hanging="0"/>
        <w:jc w:val="both"/>
        <w:rPr>
          <w:caps w:val="false"/>
          <w:smallCaps w:val="false"/>
        </w:rPr>
      </w:pPr>
      <w:r>
        <w:rPr>
          <w:caps w:val="false"/>
          <w:smallCaps w:val="false"/>
        </w:rPr>
        <w:t> </w:t>
      </w:r>
    </w:p>
    <w:tbl>
      <w:tblPr>
        <w:tblW w:w="5324" w:type="dxa"/>
        <w:jc w:val="left"/>
        <w:tblInd w:w="0" w:type="dxa"/>
        <w:tblLayout w:type="fixed"/>
        <w:tblCellMar>
          <w:top w:w="0" w:type="dxa"/>
          <w:left w:w="0" w:type="dxa"/>
          <w:bottom w:w="0" w:type="dxa"/>
          <w:right w:w="0" w:type="dxa"/>
        </w:tblCellMar>
      </w:tblPr>
      <w:tblGrid>
        <w:gridCol w:w="3545"/>
        <w:gridCol w:w="60"/>
        <w:gridCol w:w="121"/>
        <w:gridCol w:w="1293"/>
        <w:gridCol w:w="305"/>
      </w:tblGrid>
      <w:tr>
        <w:trPr/>
        <w:tc>
          <w:tcPr>
            <w:tcW w:w="354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Year Ended</w:t>
              <w:br/>
              <w:t>December 31,</w:t>
            </w:r>
          </w:p>
        </w:tc>
        <w:tc>
          <w:tcPr>
            <w:tcW w:w="305" w:type="dxa"/>
            <w:tcBorders/>
            <w:vAlign w:val="center"/>
          </w:tcPr>
          <w:p>
            <w:pPr>
              <w:pStyle w:val="TableContents"/>
              <w:bidi w:val="0"/>
              <w:spacing w:before="0" w:after="283"/>
              <w:ind w:left="0" w:right="0" w:hanging="180"/>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05" w:type="dxa"/>
            <w:tcBorders/>
            <w:vAlign w:val="center"/>
          </w:tcPr>
          <w:p>
            <w:pPr>
              <w:pStyle w:val="TableContents"/>
              <w:bidi w:val="0"/>
              <w:spacing w:before="0" w:after="283"/>
              <w:ind w:left="0" w:right="0" w:hanging="180"/>
              <w:jc w:val="left"/>
              <w:rPr/>
            </w:pPr>
            <w:r>
              <w:rPr/>
              <w:t> </w:t>
            </w:r>
          </w:p>
        </w:tc>
      </w:tr>
      <w:tr>
        <w:trPr/>
        <w:tc>
          <w:tcPr>
            <w:tcW w:w="3545" w:type="dxa"/>
            <w:tcBorders/>
            <w:shd w:fill="CCEEFF" w:val="clear"/>
            <w:vAlign w:val="center"/>
          </w:tcPr>
          <w:p>
            <w:pPr>
              <w:pStyle w:val="TableContents"/>
              <w:bidi w:val="0"/>
              <w:spacing w:before="0" w:after="283"/>
              <w:jc w:val="left"/>
              <w:rPr/>
            </w:pPr>
            <w:r>
              <w:rPr/>
              <w:t>U.S. federal statutory income tax rate</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21.00</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545" w:type="dxa"/>
            <w:tcBorders/>
            <w:shd w:fill="FFFFFF" w:val="clear"/>
            <w:vAlign w:val="center"/>
          </w:tcPr>
          <w:p>
            <w:pPr>
              <w:pStyle w:val="TableContents"/>
              <w:bidi w:val="0"/>
              <w:spacing w:before="0" w:after="283"/>
              <w:jc w:val="left"/>
              <w:rPr/>
            </w:pPr>
            <w:r>
              <w:rPr/>
              <w:t>Effect of:</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545" w:type="dxa"/>
            <w:tcBorders/>
            <w:shd w:fill="CCEEFF" w:val="clear"/>
            <w:vAlign w:val="center"/>
          </w:tcPr>
          <w:p>
            <w:pPr>
              <w:pStyle w:val="TableContents"/>
              <w:bidi w:val="0"/>
              <w:spacing w:before="0" w:after="283"/>
              <w:jc w:val="left"/>
              <w:rPr/>
            </w:pPr>
            <w:r>
              <w:rPr/>
              <w:t>State and local income taxes</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(0.03</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545" w:type="dxa"/>
            <w:tcBorders/>
            <w:shd w:fill="FFFFFF" w:val="clear"/>
            <w:vAlign w:val="center"/>
          </w:tcPr>
          <w:p>
            <w:pPr>
              <w:pStyle w:val="TableContents"/>
              <w:bidi w:val="0"/>
              <w:spacing w:before="0" w:after="283"/>
              <w:jc w:val="left"/>
              <w:rPr/>
            </w:pPr>
            <w:r>
              <w:rPr/>
              <w:t>Permanent differences</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(0.84</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54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(23.54</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545" w:type="dxa"/>
            <w:tcBorders/>
            <w:shd w:fill="FFFFFF" w:val="clear"/>
            <w:vAlign w:val="center"/>
          </w:tcPr>
          <w:p>
            <w:pPr>
              <w:pStyle w:val="TableContents"/>
              <w:bidi w:val="0"/>
              <w:spacing w:before="0" w:after="283"/>
              <w:jc w:val="left"/>
              <w:rPr/>
            </w:pPr>
            <w:r>
              <w:rPr/>
              <w:t>Federal NOL</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(0.33</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545" w:type="dxa"/>
            <w:tcBorders/>
            <w:shd w:fill="CCEEFF" w:val="clear"/>
            <w:vAlign w:val="center"/>
          </w:tcPr>
          <w:p>
            <w:pPr>
              <w:pStyle w:val="TableContents"/>
              <w:bidi w:val="0"/>
              <w:spacing w:before="0" w:after="283"/>
              <w:jc w:val="left"/>
              <w:rPr/>
            </w:pPr>
            <w:r>
              <w:rPr/>
              <w:t>Tax credits</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2.84</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54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FFFFFF" w:val="clear"/>
            <w:tcMar>
              <w:bottom w:w="28" w:type="dxa"/>
            </w:tcMar>
            <w:vAlign w:val="center"/>
          </w:tcPr>
          <w:p>
            <w:pPr>
              <w:pStyle w:val="TableContents"/>
              <w:bidi w:val="0"/>
              <w:spacing w:before="0" w:after="283"/>
              <w:jc w:val="right"/>
              <w:rPr/>
            </w:pPr>
            <w:r>
              <w:rPr/>
              <w:t>0.26</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545" w:type="dxa"/>
            <w:tcBorders/>
            <w:shd w:fill="CCEEFF" w:val="clear"/>
            <w:vAlign w:val="center"/>
          </w:tcPr>
          <w:p>
            <w:pPr>
              <w:pStyle w:val="TableContents"/>
              <w:bidi w:val="0"/>
              <w:spacing w:before="0" w:after="283"/>
              <w:jc w:val="left"/>
              <w:rPr/>
            </w:pPr>
            <w:r>
              <w:rPr/>
              <w:t>Effective tax rate</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double" w:sz="10" w:space="0" w:color="000000"/>
            </w:tcBorders>
            <w:shd w:fill="CCEEFF" w:val="clear"/>
            <w:tcMar>
              <w:bottom w:w="28" w:type="dxa"/>
            </w:tcMar>
            <w:vAlign w:val="center"/>
          </w:tcPr>
          <w:p>
            <w:pPr>
              <w:pStyle w:val="TableContents"/>
              <w:bidi w:val="0"/>
              <w:spacing w:before="0" w:after="283"/>
              <w:jc w:val="right"/>
              <w:rPr/>
            </w:pPr>
            <w:r>
              <w:rPr/>
              <w:t>(0.64</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paid income taxes, net of refunds received, as follows:</w:t>
      </w:r>
    </w:p>
    <w:p>
      <w:pPr>
        <w:pStyle w:val="TextBody"/>
        <w:bidi w:val="0"/>
        <w:spacing w:before="0" w:after="0"/>
        <w:ind w:left="0" w:right="0" w:hanging="0"/>
        <w:jc w:val="both"/>
        <w:rPr>
          <w:caps w:val="false"/>
          <w:smallCaps w:val="false"/>
        </w:rPr>
      </w:pPr>
      <w:r>
        <w:rPr>
          <w:caps w:val="false"/>
          <w:smallCaps w:val="false"/>
        </w:rPr>
        <w:t> </w:t>
      </w:r>
    </w:p>
    <w:tbl>
      <w:tblPr>
        <w:tblW w:w="4719" w:type="dxa"/>
        <w:jc w:val="left"/>
        <w:tblInd w:w="0" w:type="dxa"/>
        <w:tblLayout w:type="fixed"/>
        <w:tblCellMar>
          <w:top w:w="0" w:type="dxa"/>
          <w:left w:w="0" w:type="dxa"/>
          <w:bottom w:w="0" w:type="dxa"/>
          <w:right w:w="0" w:type="dxa"/>
        </w:tblCellMar>
      </w:tblPr>
      <w:tblGrid>
        <w:gridCol w:w="3170"/>
        <w:gridCol w:w="60"/>
        <w:gridCol w:w="494"/>
        <w:gridCol w:w="920"/>
        <w:gridCol w:w="75"/>
      </w:tblGrid>
      <w:tr>
        <w:trPr/>
        <w:tc>
          <w:tcPr>
            <w:tcW w:w="31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ind w:left="0" w:right="0" w:hanging="180"/>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3170" w:type="dxa"/>
            <w:tcBorders/>
            <w:vAlign w:val="center"/>
          </w:tcPr>
          <w:p>
            <w:pPr>
              <w:pStyle w:val="TableContents"/>
              <w:bidi w:val="0"/>
              <w:spacing w:before="0" w:after="283"/>
              <w:jc w:val="left"/>
              <w:rPr/>
            </w:pPr>
            <w:r>
              <w:rPr/>
              <w:t>Income taxes paid, net of refunds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170" w:type="dxa"/>
            <w:tcBorders/>
            <w:shd w:fill="CCEEFF" w:val="clear"/>
            <w:vAlign w:val="center"/>
          </w:tcPr>
          <w:p>
            <w:pPr>
              <w:pStyle w:val="TableContents"/>
              <w:bidi w:val="0"/>
              <w:spacing w:before="0" w:after="283"/>
              <w:jc w:val="left"/>
              <w:rPr/>
            </w:pPr>
            <w:r>
              <w:rPr/>
              <w:t>Foreign</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48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170" w:type="dxa"/>
            <w:tcBorders/>
            <w:shd w:fill="FFFFFF" w:val="clear"/>
            <w:vAlign w:val="center"/>
          </w:tcPr>
          <w:p>
            <w:pPr>
              <w:pStyle w:val="TableContents"/>
              <w:bidi w:val="0"/>
              <w:spacing w:before="0" w:after="283"/>
              <w:jc w:val="left"/>
              <w:rPr/>
            </w:pPr>
            <w:r>
              <w:rPr/>
              <w:t>U.S. state and local</w:t>
            </w:r>
          </w:p>
        </w:tc>
        <w:tc>
          <w:tcPr>
            <w:tcW w:w="60" w:type="dxa"/>
            <w:tcBorders/>
            <w:shd w:fill="FFFFFF" w:val="clear"/>
            <w:vAlign w:val="center"/>
          </w:tcPr>
          <w:p>
            <w:pPr>
              <w:pStyle w:val="TableContents"/>
              <w:bidi w:val="0"/>
              <w:spacing w:before="0" w:after="283"/>
              <w:jc w:val="left"/>
              <w:rPr/>
            </w:pPr>
            <w:r>
              <w:rPr/>
              <w:t> </w:t>
            </w:r>
          </w:p>
        </w:tc>
        <w:tc>
          <w:tcPr>
            <w:tcW w:w="4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17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4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pPr>
            <w:r>
              <w:rPr/>
              <w:t>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and liabilities for financial reporting purposes and the amounts used for income tax purposes. Deferred tax assets and liabilities are measured using enacted tax rates expected to apply to taxable income in the years in which those temporary differences are expected to reverse. Significant components of the Company’s deferred tax liabilities and assets were as follows:</w:t>
      </w:r>
    </w:p>
    <w:p>
      <w:pPr>
        <w:pStyle w:val="TextBody"/>
        <w:bidi w:val="0"/>
        <w:spacing w:before="0" w:after="0"/>
        <w:ind w:left="0" w:right="0" w:hanging="0"/>
        <w:jc w:val="both"/>
        <w:rPr>
          <w:caps w:val="false"/>
          <w:smallCaps w:val="false"/>
        </w:rPr>
      </w:pPr>
      <w:r>
        <w:rPr>
          <w:caps w:val="false"/>
          <w:smallCaps w:val="false"/>
        </w:rPr>
        <w:t> </w:t>
      </w:r>
    </w:p>
    <w:tbl>
      <w:tblPr>
        <w:tblW w:w="7001" w:type="dxa"/>
        <w:jc w:val="left"/>
        <w:tblInd w:w="0" w:type="dxa"/>
        <w:tblLayout w:type="fixed"/>
        <w:tblCellMar>
          <w:top w:w="0" w:type="dxa"/>
          <w:left w:w="0" w:type="dxa"/>
          <w:bottom w:w="0" w:type="dxa"/>
          <w:right w:w="0" w:type="dxa"/>
        </w:tblCellMar>
      </w:tblPr>
      <w:tblGrid>
        <w:gridCol w:w="4835"/>
        <w:gridCol w:w="60"/>
        <w:gridCol w:w="143"/>
        <w:gridCol w:w="776"/>
        <w:gridCol w:w="97"/>
        <w:gridCol w:w="61"/>
        <w:gridCol w:w="143"/>
        <w:gridCol w:w="776"/>
        <w:gridCol w:w="110"/>
      </w:tblGrid>
      <w:tr>
        <w:trPr/>
        <w:tc>
          <w:tcPr>
            <w:tcW w:w="48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ind w:left="0" w:right="0" w:hanging="180"/>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483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835" w:type="dxa"/>
            <w:tcBorders/>
            <w:shd w:fill="CCEEFF" w:val="clear"/>
            <w:vAlign w:val="center"/>
          </w:tcPr>
          <w:p>
            <w:pPr>
              <w:pStyle w:val="TableContents"/>
              <w:bidi w:val="0"/>
              <w:spacing w:before="0" w:after="283"/>
              <w:jc w:val="left"/>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28,684</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17,160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835" w:type="dxa"/>
            <w:tcBorders/>
            <w:shd w:fill="FFFFFF" w:val="clear"/>
            <w:vAlign w:val="center"/>
          </w:tcPr>
          <w:p>
            <w:pPr>
              <w:pStyle w:val="TableContents"/>
              <w:bidi w:val="0"/>
              <w:spacing w:before="0" w:after="283"/>
              <w:jc w:val="left"/>
              <w:rPr/>
            </w:pPr>
            <w:r>
              <w:rPr/>
              <w:t>Capitalized research and development expenses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18,258</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11,358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835" w:type="dxa"/>
            <w:tcBorders/>
            <w:shd w:fill="CCEEFF" w:val="clear"/>
            <w:vAlign w:val="center"/>
          </w:tcPr>
          <w:p>
            <w:pPr>
              <w:pStyle w:val="TableContents"/>
              <w:bidi w:val="0"/>
              <w:spacing w:before="0" w:after="283"/>
              <w:jc w:val="left"/>
              <w:rPr/>
            </w:pPr>
            <w:r>
              <w:rPr/>
              <w:t>Credit carryforwards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5,415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3,933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835" w:type="dxa"/>
            <w:tcBorders/>
            <w:shd w:fill="FFFFFF" w:val="clear"/>
            <w:vAlign w:val="center"/>
          </w:tcPr>
          <w:p>
            <w:pPr>
              <w:pStyle w:val="TableContents"/>
              <w:bidi w:val="0"/>
              <w:spacing w:before="0" w:after="283"/>
              <w:jc w:val="left"/>
              <w:rPr/>
            </w:pPr>
            <w:r>
              <w:rPr/>
              <w:t>Other accrued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49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44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835" w:type="dxa"/>
            <w:tcBorders/>
            <w:shd w:fill="CCEEFF" w:val="clear"/>
            <w:vAlign w:val="center"/>
          </w:tcPr>
          <w:p>
            <w:pPr>
              <w:pStyle w:val="TableContents"/>
              <w:bidi w:val="0"/>
              <w:spacing w:before="0" w:after="283"/>
              <w:jc w:val="left"/>
              <w:rPr/>
            </w:pPr>
            <w:r>
              <w:rPr/>
              <w:t>Contract loss provision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1,144</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1,165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835" w:type="dxa"/>
            <w:tcBorders/>
            <w:shd w:fill="FFFFFF" w:val="clear"/>
            <w:vAlign w:val="center"/>
          </w:tcPr>
          <w:p>
            <w:pPr>
              <w:pStyle w:val="TableContents"/>
              <w:bidi w:val="0"/>
              <w:spacing w:before="0" w:after="283"/>
              <w:jc w:val="left"/>
              <w:rPr/>
            </w:pPr>
            <w:r>
              <w:rPr/>
              <w:t>Fair value temporary differences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2,499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83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171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222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83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621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320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83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835" w:type="dxa"/>
            <w:tcBorders/>
            <w:shd w:fill="FFFFFF" w:val="clear"/>
            <w:vAlign w:val="center"/>
          </w:tcPr>
          <w:p>
            <w:pPr>
              <w:pStyle w:val="TableContents"/>
              <w:bidi w:val="0"/>
              <w:spacing w:before="0" w:after="283"/>
              <w:jc w:val="left"/>
              <w:rPr/>
            </w:pPr>
            <w:r>
              <w:rPr/>
              <w:t>Unrealized foreign exchange gains and losses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333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186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835" w:type="dxa"/>
            <w:tcBorders/>
            <w:shd w:fill="CCEEFF" w:val="clear"/>
            <w:vAlign w:val="center"/>
          </w:tcPr>
          <w:p>
            <w:pPr>
              <w:pStyle w:val="TableContents"/>
              <w:bidi w:val="0"/>
              <w:spacing w:before="0" w:after="283"/>
              <w:jc w:val="left"/>
              <w:rPr/>
            </w:pPr>
            <w:r>
              <w:rPr/>
              <w:t>Issuance of financial instruments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160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835" w:type="dxa"/>
            <w:tcBorders/>
            <w:shd w:fill="FFFFFF" w:val="clear"/>
            <w:vAlign w:val="center"/>
          </w:tcPr>
          <w:p>
            <w:pPr>
              <w:pStyle w:val="TableContents"/>
              <w:bidi w:val="0"/>
              <w:spacing w:before="0" w:after="283"/>
              <w:jc w:val="left"/>
              <w:rPr/>
            </w:pPr>
            <w:r>
              <w:rPr/>
              <w:t>Contribution carryforward</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835" w:type="dxa"/>
            <w:tcBorders/>
            <w:shd w:fill="CCEEFF" w:val="clear"/>
            <w:vAlign w:val="center"/>
          </w:tcPr>
          <w:p>
            <w:pPr>
              <w:pStyle w:val="TableContents"/>
              <w:bidi w:val="0"/>
              <w:spacing w:before="0" w:after="283"/>
              <w:jc w:val="left"/>
              <w:rPr/>
            </w:pPr>
            <w:r>
              <w:rPr/>
              <w:t>Total deferred tax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57,374</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34,417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83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835"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(169</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(217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83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CCEEFF" w:val="clear"/>
            <w:tcMar>
              <w:bottom w:w="28" w:type="dxa"/>
            </w:tcMar>
            <w:vAlign w:val="center"/>
          </w:tcPr>
          <w:p>
            <w:pPr>
              <w:pStyle w:val="TableContents"/>
              <w:bidi w:val="0"/>
              <w:spacing w:before="0" w:after="283"/>
              <w:jc w:val="right"/>
              <w:rPr/>
            </w:pPr>
            <w:r>
              <w:rPr/>
              <w:t>(237</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CCEEFF" w:val="clear"/>
            <w:tcMar>
              <w:bottom w:w="28" w:type="dxa"/>
            </w:tcMar>
            <w:vAlign w:val="center"/>
          </w:tcPr>
          <w:p>
            <w:pPr>
              <w:pStyle w:val="TableContents"/>
              <w:bidi w:val="0"/>
              <w:spacing w:before="0" w:after="283"/>
              <w:jc w:val="right"/>
              <w:rPr/>
            </w:pPr>
            <w:r>
              <w:rPr/>
              <w:t>(194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835" w:type="dxa"/>
            <w:tcBorders/>
            <w:shd w:fill="FFFFFF" w:val="clear"/>
            <w:vAlign w:val="center"/>
          </w:tcPr>
          <w:p>
            <w:pPr>
              <w:pStyle w:val="TableContents"/>
              <w:bidi w:val="0"/>
              <w:spacing w:before="0" w:after="283"/>
              <w:jc w:val="left"/>
              <w:rPr/>
            </w:pPr>
            <w:r>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(406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(411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835" w:type="dxa"/>
            <w:tcBorders/>
            <w:shd w:fill="CCEEFF" w:val="clear"/>
            <w:vAlign w:val="center"/>
          </w:tcPr>
          <w:p>
            <w:pPr>
              <w:pStyle w:val="TableContents"/>
              <w:bidi w:val="0"/>
              <w:spacing w:before="0" w:after="283"/>
              <w:jc w:val="left"/>
              <w:rPr/>
            </w:pPr>
            <w:r>
              <w:rPr/>
              <w:t>Net deferred tax assets, before valuation allowance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56,968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34,006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835" w:type="dxa"/>
            <w:tcBorders/>
            <w:shd w:fill="FFFFFF" w:val="clear"/>
            <w:vAlign w:val="center"/>
          </w:tcPr>
          <w:p>
            <w:pPr>
              <w:pStyle w:val="TableContents"/>
              <w:bidi w:val="0"/>
              <w:spacing w:before="0" w:after="283"/>
              <w:jc w:val="left"/>
              <w:rPr/>
            </w:pPr>
            <w:r>
              <w:rPr/>
              <w:t>Less: deferred tax asset valuation allowance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(56,968</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(34,006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835" w:type="dxa"/>
            <w:tcBorders/>
            <w:shd w:fill="CCEEFF" w:val="clear"/>
            <w:vAlign w:val="center"/>
          </w:tcPr>
          <w:p>
            <w:pPr>
              <w:pStyle w:val="TableContents"/>
              <w:bidi w:val="0"/>
              <w:spacing w:before="0" w:after="283"/>
              <w:jc w:val="left"/>
              <w:rPr/>
            </w:pPr>
            <w:r>
              <w:rPr/>
              <w:t>Net deferred taxes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allowance totaled $56,968 and $34,006 for the years ended December 31, 2025 and 2024, respectively, because the future realization of such benefits is uncertain. The valuation allowance increased by $22,962 and $15,626 during the years ended December 31, 2025 and 2024, respectively, primarily due to a full valuation allowance against deferred tax assets associated with net operating loss carryforwards, capitalized research and develop costs, and tax credit carryforwards. All movement in the valuation allowance has been captured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federal and state net operating loss carryforwards totaling approximately $115,953 and $72,501, respectively, which are available to reduce the Company’s future taxes. The federal net operating loss carryforwards can be carried forward indefinitely. The state net operating loss carryforwards will expire at various dates beginning in 2038 through 2045 if not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of December 31, 2025, the Company has federal and state research and development credit carryforwards of $4,486 and $929, respectively. The federal and state research and development credits will begin to expire in the years 2034 through 2045 if not utilized. In the event of any significant changes in ownership of the Company, utilization of the net operating losses and research and development credit carryforwards may be subject to an annual limitation due to the ownership percentage change limitations provided by the Internal Revenue Code of 1986 and similar state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has not recognized any liabilities for uncertain tax positions in its consolidated financial statements. The Company does not expect any material change in uncertain tax benefits within the next 12 months. The Company files tax returns as prescribed by the tax laws of the jurisdictions in which it operates.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examination by federal and state authorities, where applicable. There are currently no pending tax examinations. The Company’s tax years are still open under statute from 2022 to the present. The resolution of tax matters is not expected to have a material effect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4, 2025, bill H.R. 1, commonly referred to as the “One Big Beautiful Bill Act” or “OBBBA,” was signed into law, with certain provisions effective in 2025 and others in 2026. The OBBBA significantly revises U.S. corporate income tax laws by, among other things, restoring the option for immediate expense recognition for U.S.-based research and development expenditures and making permanent the ability to claim first-year bonus depreciation on qualified property.  The Company was not materially impacted by OBBBA tax law changes of taxation of foreign operations. Pursuant to ASC 740, changes in tax rates and tax law are required to be recognized in the period in which the legislation is enacted. The Company evaluated the impact of this Act on its annual consolidated financial statements and related disclosures and concluded that the Act does not have a material impact on its consolidated financial statements as of and for the year ended December 31, 2025, as any impact was offset by a valuation allowance. </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Commitments, Contingencies,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disputes, legal proceedings, fines and penalties, and other sources are recorded when it is probable that a liability has been or will be incurred and the amount of the liability can be reasonably estimated. Legal costs incurred in connection with loss contingencies are expensed as incurred. Recoveries of such legal costs from insurance policies are recorded as an offset to legal expenses in the period they are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enters into various agreements containing standard indemnification provisions. The Company’s indemnification obligations under such provisions are typically in effect from the date of execution of the applicable agreement through the end of the applicable statute of limitations. The aggregate maximum potential future liability of the Company under such indemnification provisions is uncertain. As of December 31, 2025 and 2024, no amounts have been accrued related to such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Segment and Geographic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and reportable segment. The CODM uses consolidated net loss to evaluate performance, allocate resources, set incentive compensation targets, and plan for future periods. The measure of segment assets is reported on the consolidated balance sheets as total consolidated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significant segment expenses, which were regularly provided to the CODM:</w:t>
      </w:r>
    </w:p>
    <w:p>
      <w:pPr>
        <w:pStyle w:val="TextBody"/>
        <w:bidi w:val="0"/>
        <w:spacing w:before="0" w:after="0"/>
        <w:ind w:left="0" w:right="0" w:hanging="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4985"/>
        <w:gridCol w:w="60"/>
        <w:gridCol w:w="195"/>
        <w:gridCol w:w="1055"/>
        <w:gridCol w:w="132"/>
        <w:gridCol w:w="83"/>
        <w:gridCol w:w="195"/>
        <w:gridCol w:w="1055"/>
        <w:gridCol w:w="110"/>
      </w:tblGrid>
      <w:tr>
        <w:trPr/>
        <w:tc>
          <w:tcPr>
            <w:tcW w:w="498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ind w:left="0" w:right="0" w:hanging="180"/>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7,551</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1,229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Significant segment expenses: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Personnel</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(29,006</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(26,554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85" w:type="dxa"/>
            <w:tcBorders/>
            <w:shd w:fill="FFFFFF" w:val="clear"/>
            <w:vAlign w:val="center"/>
          </w:tcPr>
          <w:p>
            <w:pPr>
              <w:pStyle w:val="TableContents"/>
              <w:bidi w:val="0"/>
              <w:spacing w:before="0" w:after="283"/>
              <w:jc w:val="left"/>
              <w:rPr/>
            </w:pPr>
            <w:r>
              <w:rPr/>
              <w:t>Travel and entertainment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(2,551</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(2,408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85" w:type="dxa"/>
            <w:tcBorders/>
            <w:shd w:fill="CCEEFF" w:val="clear"/>
            <w:vAlign w:val="center"/>
          </w:tcPr>
          <w:p>
            <w:pPr>
              <w:pStyle w:val="TableContents"/>
              <w:bidi w:val="0"/>
              <w:spacing w:before="0" w:after="283"/>
              <w:jc w:val="left"/>
              <w:rPr/>
            </w:pPr>
            <w:r>
              <w:rPr/>
              <w:t>Consulting and professional services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(21,798</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(12,041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85" w:type="dxa"/>
            <w:tcBorders/>
            <w:shd w:fill="FFFFFF" w:val="clear"/>
            <w:vAlign w:val="center"/>
          </w:tcPr>
          <w:p>
            <w:pPr>
              <w:pStyle w:val="TableContents"/>
              <w:bidi w:val="0"/>
              <w:spacing w:before="0" w:after="283"/>
              <w:jc w:val="left"/>
              <w:rPr/>
            </w:pPr>
            <w:r>
              <w:rPr/>
              <w:t>Aircraft expense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(2,397</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(1,181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85"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(2,706</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85" w:type="dxa"/>
            <w:tcBorders/>
            <w:shd w:fill="FFFFFF" w:val="clear"/>
            <w:vAlign w:val="center"/>
          </w:tcPr>
          <w:p>
            <w:pPr>
              <w:pStyle w:val="TableContents"/>
              <w:bidi w:val="0"/>
              <w:spacing w:before="0" w:after="283"/>
              <w:jc w:val="left"/>
              <w:rPr/>
            </w:pPr>
            <w:r>
              <w:rPr/>
              <w:t>Facilities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(1,560</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(1,482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85"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(2,913</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(4,695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8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(1,582</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85" w:type="dxa"/>
            <w:tcBorders/>
            <w:shd w:fill="CCEEFF" w:val="clear"/>
            <w:vAlign w:val="center"/>
          </w:tcPr>
          <w:p>
            <w:pPr>
              <w:pStyle w:val="TableContents"/>
              <w:bidi w:val="0"/>
              <w:spacing w:before="0" w:after="283"/>
              <w:jc w:val="left"/>
              <w:rPr/>
            </w:pPr>
            <w:r>
              <w:rPr/>
              <w:t>Contract loss provision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(1,451</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(6,347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85" w:type="dxa"/>
            <w:tcBorders/>
            <w:shd w:fill="FFFFFF" w:val="clear"/>
            <w:vAlign w:val="center"/>
          </w:tcPr>
          <w:p>
            <w:pPr>
              <w:pStyle w:val="TableContents"/>
              <w:bidi w:val="0"/>
              <w:spacing w:before="0" w:after="283"/>
              <w:jc w:val="left"/>
              <w:rPr/>
            </w:pPr>
            <w:r>
              <w:rPr/>
              <w:t>Benefit from contract loss provision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2,444</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1,181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Benefit from research and development agreement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450</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Total significant segment expenses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(63,070</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(55,254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85" w:type="dxa"/>
            <w:tcBorders/>
            <w:shd w:fill="CCEEFF" w:val="clear"/>
            <w:vAlign w:val="center"/>
          </w:tcPr>
          <w:p>
            <w:pPr>
              <w:pStyle w:val="TableContents"/>
              <w:bidi w:val="0"/>
              <w:spacing w:before="0" w:after="283"/>
              <w:jc w:val="left"/>
              <w:rPr/>
            </w:pPr>
            <w:r>
              <w:rPr/>
              <w:t>Other segment expenses: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1,443</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2,005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(2,957</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(2,420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85"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(159</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85"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(2,357</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85" w:type="dxa"/>
            <w:tcBorders/>
            <w:shd w:fill="FFFFFF" w:val="clear"/>
            <w:vAlign w:val="center"/>
          </w:tcPr>
          <w:p>
            <w:pPr>
              <w:pStyle w:val="TableContents"/>
              <w:bidi w:val="0"/>
              <w:spacing w:before="0" w:after="283"/>
              <w:jc w:val="left"/>
              <w:rPr/>
            </w:pPr>
            <w:r>
              <w:rPr/>
              <w:t>Change in fair value of convertible promissory notes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(7,563</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Loss on exchange of warrant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(3,320</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Loss on issuance of financial instruments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(585</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Loss on extinguishment of long-term debt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(2,157</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Change in fair value of long-term debt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(1,554</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Total other segment expenses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(19,209</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(877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85" w:type="dxa"/>
            <w:tcBorders/>
            <w:shd w:fill="FFFFFF" w:val="clear"/>
            <w:vAlign w:val="center"/>
          </w:tcPr>
          <w:p>
            <w:pPr>
              <w:pStyle w:val="TableContents"/>
              <w:bidi w:val="0"/>
              <w:spacing w:before="0" w:after="283"/>
              <w:jc w:val="left"/>
              <w:rPr/>
            </w:pPr>
            <w:r>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(74,728</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(54,902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8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351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(74,778</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(55,253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and operating lease right-of-use assets, net by geographic area were as follows:</w:t>
      </w:r>
    </w:p>
    <w:p>
      <w:pPr>
        <w:pStyle w:val="TextBody"/>
        <w:bidi w:val="0"/>
        <w:spacing w:before="0" w:after="0"/>
        <w:ind w:left="0" w:right="0" w:hanging="0"/>
        <w:jc w:val="both"/>
        <w:rPr>
          <w:caps w:val="false"/>
          <w:smallCaps w:val="false"/>
        </w:rPr>
      </w:pPr>
      <w:r>
        <w:rPr>
          <w:caps w:val="false"/>
          <w:smallCaps w:val="false"/>
        </w:rPr>
        <w:t> </w:t>
      </w:r>
    </w:p>
    <w:tbl>
      <w:tblPr>
        <w:tblW w:w="3456" w:type="dxa"/>
        <w:jc w:val="left"/>
        <w:tblInd w:w="0" w:type="dxa"/>
        <w:tblLayout w:type="fixed"/>
        <w:tblCellMar>
          <w:top w:w="0" w:type="dxa"/>
          <w:left w:w="0" w:type="dxa"/>
          <w:bottom w:w="0" w:type="dxa"/>
          <w:right w:w="0" w:type="dxa"/>
        </w:tblCellMar>
      </w:tblPr>
      <w:tblGrid>
        <w:gridCol w:w="1325"/>
        <w:gridCol w:w="60"/>
        <w:gridCol w:w="184"/>
        <w:gridCol w:w="736"/>
        <w:gridCol w:w="78"/>
        <w:gridCol w:w="78"/>
        <w:gridCol w:w="184"/>
        <w:gridCol w:w="736"/>
        <w:gridCol w:w="75"/>
      </w:tblGrid>
      <w:tr>
        <w:trPr/>
        <w:tc>
          <w:tcPr>
            <w:tcW w:w="132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ind w:left="0" w:right="0" w:hanging="180"/>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132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4,541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6,231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pPr>
            <w:r>
              <w:rPr/>
              <w:t>New Zealand</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3,546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3,706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10" w:space="0" w:color="000000"/>
            </w:tcBorders>
            <w:shd w:fill="CCEEFF" w:val="clear"/>
            <w:tcMar>
              <w:bottom w:w="28" w:type="dxa"/>
            </w:tcMar>
            <w:vAlign w:val="center"/>
          </w:tcPr>
          <w:p>
            <w:pPr>
              <w:pStyle w:val="TableContents"/>
              <w:bidi w:val="0"/>
              <w:spacing w:before="0" w:after="283"/>
              <w:jc w:val="right"/>
              <w:rPr/>
            </w:pPr>
            <w:r>
              <w:rPr/>
              <w:t>8,087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10" w:space="0" w:color="000000"/>
            </w:tcBorders>
            <w:shd w:fill="CCEEFF" w:val="clear"/>
            <w:tcMar>
              <w:bottom w:w="28" w:type="dxa"/>
            </w:tcMar>
            <w:vAlign w:val="center"/>
          </w:tcPr>
          <w:p>
            <w:pPr>
              <w:pStyle w:val="TableContents"/>
              <w:bidi w:val="0"/>
              <w:spacing w:before="0" w:after="283"/>
              <w:jc w:val="right"/>
              <w:rPr/>
            </w:pPr>
            <w:r>
              <w:rPr/>
              <w:t>9,937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Defined Contribution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plan covering substantially all of its employees who meet certain eligibility requirements. The Company, at the discretion of the Board of Directors, may make contributions to the plan. During the years ended December 31, 2025 and 2024, the Company made contributions to the plan in the amounts of $212 and $180,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LABS,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17. 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through March 20, 2026, the date the consolidated financial statements were available to be issued. Other than as disclosed below, the Company is not aware of any subsequent events which would require recognition or disclosure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and in anticipation of the Closing (as defined below), the Company exercised its unilateral right to prepay the entire issued and outstanding principal amount of the 2022 PGF Loan of approximately NZD 1,157 at a redemption price of NZD 1,296 (approximately $774 USD). The redemption price includes the repayment of outstanding principal and accrued unpaid interest thereon (including accrued interest paid in-kind).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Merger was consummated pursuant to the terms of the BCA (refer to Note 1. Organization and Description of Business) (the “Closing”). Pursuant to the BCA and at the Closing, the Merger Sub merged with and into the Company, with the Company surviving the merger as a wholly owned subsidiary of the Purchaser. Additionally, at the Closing, the Purchaser was renamed “Merlin, Inc.” (after the Closing, “New Merlin”).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effectiveness of the Merger, and pursuant to the terms of the BCA:</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convertible security of the Company (other than the Pre-PIPE Bridge Notes and Pre-Funded PIPE Notes) automatically converted into full shares of preferred stock or common stock, as applicable, of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Company’s outstanding and unexercised preferred stock warrant liabilities were automatically exercised on a cashless basis;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conversions described at (1) and (2) above, each issued and outstanding share of the Company’s redeemable convertible preferred stock automatically converted into shares of the Company’s common stock;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Company’s outstanding and unexercised common stock warrants (other than the Pre-PIPE Bridge Warrants and Pre-Funded PIPE Warrants) were automatically exercised on a cashless basis.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and pursuant to the terms of the BCA:</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the Company’s common stock owned by it, Merger Sub, or the Purchaser was canceled without consideration exchanged therefor;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other issued and outstanding share of the Company’s common stock was canceled and converted into the right to receive shares of New Merlin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option to purchase equity securities of the Company was converted into an option to acquire New Merlin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Pre-PIPE Bridge Note and Pre-Funded PIPE Note was converted into shares of New Merlin 12.0% Series A Cumulative Convertible Preferred Stock, par value $0.0001 per share;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Pre-PIPE Bridge Warrant and Pre-Funded PIPE Warrant was converted into a warrant to purchase New Merlin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the Company exercised its unilateral right to voluntarily prepay the entire issued and outstanding principal amount of 2024 LSA Loans of approximately $25,225 at a redemption price of $28,333. The redemption price includes the repayment of outstanding principal, accrued unpaid interest thereon, cash and in-kind interest make-whole payments (refer to Note 8. Debt), and the lender’s direct and incremental legal costs incurred in connection with such prepayment.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New Merlin remains as the publicly traded parent company and its common stock will continue to be listed on Nasdaq under the ticker symbol “MRLN.”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2" w:name="ea028257401ex99-2.htm"/>
      <w:bookmarkStart w:id="83" w:name="ksea028257401ex992"/>
      <w:bookmarkEnd w:id="82"/>
      <w:bookmarkEnd w:id="83"/>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MANAGEMENT’S DISCUSSION AND ANALYSIS OF FINANCIAL CONDITION 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OF MERLIN LABS,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all references in this section to “we”, “us”, “our”, “Merlin”, or the “Company” refer to Merlin Labs, Inc. and its subsidiaries prior to the consummation of the Business Combination and after the consummation of the Business Combination, Merlin, Inc.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the financial condition and results of operations of Merlin includes information that Merlin’s management believes is relevant to an assessment and understanding of Merlin’s consolidated results of operations and financial condition. You should read the following discussion and analysis of our financial condition and results of operations together with our audited consolidated financial statements for the years ended December 31, 2025 and 2024 together with the respective notes thereto, attached as Exhibit 99.1 to this Form 8-K. This discussion and analysis should also be read together with the unaudited pro forma financial information as of and for the year ended December 31, 2025 attached as Exhibit 99.3 to this Form 8-K. This discussion contains forward-looking statements based upon current plans, expectations, and beliefs, involving risks and uncertainties. Our actual results may differ materially from those anticipated in these forward-looking statements. You should review the sections elsewhere in this Form 8-K titled “Cautionary Note Regarding Forward-Looking Statements” for a discussion of forward-looking statements, and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be at the forefront of advancing autonomous flight technology and positioning ourself as the leading U.S.-based developer of autonomy solutions for fixed-wing aircraft. Our non-human pilot system, Merlin Pilot, integrates cutting-edge hardware and software to deliver a comprehensive autonomous flight solution that spans the entire flight process, from takeoff to touchdown. By operating with reduced crew or autonomously, we believe Merlin Pilot can significantly enhance flight efficiency, enabling more flights per day or optimized routes, thereby reducing operational costs. This translates to potential savings of millions of dollars per aircraft annually, offering substantial financial benefits to large fleet operators.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Merlin Pilot not only addresses the global pilot shortage but also enhances flight safety, offering a compelling economic model with diverse revenue streams, including hardware integration and recurring, high-margin software support. Our extensive portfolio of proprietary intellectual property combines artificial intelligence with traditional high-assurance flight controls, positioning us to capitalize on the growing trends of autonomous systems and next-generation aviation.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growing our team of engineers with deep expertise in autonomy and certified software for both military and civilian applications. We are a prime contractor on a $105 million Indefinite Delivery, Indefinite Quantity (“IDIQ”) contract and we have identified approximately $3.0 billion pipeline of opportunities, supporting robust growth in both military and civilian markets. Our mature certification program includes an issued certification basis and a certification-conformed system with approved military airworthiness plans, underscoring our commitment to delivering reliable and safe autonomous flight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Merlin Pilot is an advanced automation system designed to enable full autonomous flight from takeoff to touchdown. It utilizes a comprehensive array of sensor technologies to assess the aircraft’s state and its surrounding environment, allowing it to navigate effectively and recommend trajectory adjustments as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go-to-market strategy is designed around mastering traditional aircraft markets and building a solid foundation of revenue and expertise. Our short-term focus is to sell primarily to the military sector, with a goal to transition into the civilian sector in the long-term once our technology and solutions have been widely adopted and deployed in the military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chosen as the sole prime contractor for a $105 million IDIQ contract to integrate autonomous capabilities into the C-130J for the U.S. Air Force, which is the most widely used military transport aircraft globally. This contract covers the initial adaptation of the platform and can be extended to both low-rate and full-rate production for all Air Force Special Operations Command (“USSOCOM”) fixed-wing aircraft.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deploy the first Merlin Pilot on either commercial or military aircraft within the next three years. We incurred net losses of $74,778 thousand and $55,253 thousand for the fiscal years ended December 31, 2025 and 2024, respectively. We expect to continue to generate losses over the next few years as we continue to invest in research and development, expand our facilities and expand the technical capabilities of our engineering function. We expect that our existing cash and cash equivalents, including the net proceeds from this Merger, will be sufficient to meet our capital expenditure and working capital requirements for a period of at least twelve months from the date of this prospectus/proxy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Model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deploy a hybrid hardware installation and software integration business model whereby we expect to generate revenue from the sale and installation of Merlin Pilot to flight operators necessary for autonomous flight and from the fees associated with providing software support to such operators. We also expect to generate additional revenue from the sale of ancillary services related to operating a fleet of autonomous aircraft. Below is a summary of each of these revenue streams: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Merlin Pilot Sale and Installation Fees</w:t>
            </w:r>
            <w:r>
              <w:rPr>
                <w:rFonts w:ascii="Times New Roman;Times;Serif" w:hAnsi="Times New Roman;Times;Serif"/>
                <w:b w:val="false"/>
                <w:i w:val="false"/>
                <w:caps w:val="false"/>
                <w:smallCaps w:val="false"/>
                <w:sz w:val="20"/>
              </w:rPr>
              <w:t>: The anticipated revenue stream from the sale and installation of Merlin Pilot includes licensing or technology fees for the installation and implementation of our technology on an aircraft. This type of revenue is incurred a single time and is non-recurring and varies based on the aircraft type. Over time, we expect to be able to scale our engineering and technical installation and implementation capabilities to reduce costs and increase our margins on this type of revenue.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Software Support Fees</w:t>
            </w:r>
            <w:r>
              <w:rPr>
                <w:rFonts w:ascii="Times New Roman;Times;Serif" w:hAnsi="Times New Roman;Times;Serif"/>
                <w:b w:val="false"/>
                <w:i w:val="false"/>
                <w:caps w:val="false"/>
                <w:smallCaps w:val="false"/>
                <w:sz w:val="20"/>
              </w:rPr>
              <w:t>: The anticipated revenue stream from software support includes fees generated from providing ongoing technical and operational support to the Merlin Pilot. Under our business model, software license agreements typically include a lifetime right of use and do not provide for any support or maintenance to be provided by the Company for the term of the agreement. However, we will offer these services to our customers for additional fees, which we intend to invoice either monthly or annually, depending on the agreement reached with each customer. As such, revenue incurred from support and maintenance will be categorized separately from the revenue originally incurred in selling and implementing the Merlin Pilot on each aircraft.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Ancillary Fees</w:t>
            </w:r>
            <w:r>
              <w:rPr>
                <w:rFonts w:ascii="Times New Roman;Times;Serif" w:hAnsi="Times New Roman;Times;Serif"/>
                <w:b w:val="false"/>
                <w:i w:val="false"/>
                <w:caps w:val="false"/>
                <w:smallCaps w:val="false"/>
                <w:sz w:val="20"/>
              </w:rPr>
              <w:t>: We also intend to offer ancillary services designed to meet the needs of our customers. In doing so, we intend to take advantage of the insights we’re able to generate from the deployment of our technology to generate additional income with minimal incremental cost. The ancillary services we currently intend to offer include software upgrades and support, which are designed to enhance the autopilot experience, enhanced customer assistance and trainings and data insights which can further optimize routes and individual aircraft performance. We will continue to analyze the possibility of offering additional services as we scale, and the pricing of such services will be dependent on their wide scale acceptability, regulatory approvals and the costs associated with offering such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expect to generate revenues from each of the three revenue streams discussed above, we do not expect to generate revenues from all three simultaneously until we’ve achieved scale in our business. Rather, our growth strategy is structured around a phased implementation approach to ensure efficient deployment and scalability of our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1 — Adapt</w:t>
      </w:r>
      <w:r>
        <w:rPr>
          <w:rFonts w:ascii="Times New Roman;Times;Serif" w:hAnsi="Times New Roman;Times;Serif"/>
          <w:b w:val="false"/>
          <w:i w:val="false"/>
          <w:caps w:val="false"/>
          <w:smallCaps w:val="false"/>
          <w:sz w:val="20"/>
        </w:rPr>
        <w:t>: During this phase, our engineers are tailoring the core Merlin Pilot system to specific platforms and mission profiles. This phase involves non-recurring engineering funding for each aircraft type with a scalable engineering process over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2 — Integrate</w:t>
      </w:r>
      <w:r>
        <w:rPr>
          <w:rFonts w:ascii="Times New Roman;Times;Serif" w:hAnsi="Times New Roman;Times;Serif"/>
          <w:b w:val="false"/>
          <w:i w:val="false"/>
          <w:caps w:val="false"/>
          <w:smallCaps w:val="false"/>
          <w:sz w:val="20"/>
        </w:rPr>
        <w:t>: During this phase, the Merlin Pilot system will be integrated onto customer platforms. We may include the use of integration partners which allows us to scale our programs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3 — License</w:t>
      </w:r>
      <w:r>
        <w:rPr>
          <w:rFonts w:ascii="Times New Roman;Times;Serif" w:hAnsi="Times New Roman;Times;Serif"/>
          <w:b w:val="false"/>
          <w:i w:val="false"/>
          <w:caps w:val="false"/>
          <w:smallCaps w:val="false"/>
          <w:sz w:val="20"/>
        </w:rPr>
        <w:t>: During this phase, we will offer “Autonomy as a Service” to our installed base of aircraft at a pre-negotiated annual rate, which includes software updates and ongoing support for the Merlin software.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we’ve achieved scale, we expect to generate concurrent revenue from all three of the revenue streams listed above as we deploy our technology across both military and civilian sectors, including both in the United States and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future success and financial performance depend on a number of factors that present significant opportunities for our business, but also pose risks and challenges, including those discussed below and in the section of this prospectus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commence and expand commercial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 stage company with no commercial operations to date. As such, our business model is dependent on our commencing and expanding commercial operations. We currently anticipate initial customer deliveries within the next year pursuant to the IDIQ production contract to integrate autonomous capabilities into the C-130J for the U.S. Air Force. This, in turn, is dependent upon successfully testing and finalizing the Merlin Pilot for integration on the C-130J aircraft. Our team of engineers, developers and other staff is highly motivated and committed to accomplishing these challenges ahead. Failure to test and finalize the Merlin Pilot in a timely manner could result in us being unable to commercialize our technology on our anticipated timeframe.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a pipeline of potential customers and partners that we expect will play an integral role in bringing our technology to market. We currently depend on the U.S. government for funding given that they’re our single and largest customer. If the U.S. government were to stop the support of the initial development of our technology for military aircraft, our ability to commence and expand commercial operations, including across the civilian sector, would be significantly impaired. Additionally, global conflicts, such as the Russia-Ukraine conflict and ongoing U.S. and Israeli operations in Iran, have created and may continue to create significant global economic uncertainty. While this uncertainty has resulted in a greater need for our technology in the military sector, it may ultimately impact the deployment of our technology across the civilian sector, particularly if it results in a decrease in global travel and airfare. See “</w:t>
      </w:r>
      <w:r>
        <w:rPr>
          <w:rFonts w:ascii="Times New Roman;Times;Serif" w:hAnsi="Times New Roman;Times;Serif"/>
          <w:b w:val="false"/>
          <w:i/>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Widespread acceptance of autonomous flight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and future success are dependent on public support for autonomous, non-human flight in the United States and other countries where we intend to market and sell our technology. Over time, we expect autonomous flight solutions to gain widespread acceptance and become an integral part of the aviation and travel industries worldwide. However, today it is an unproven and nascent technology. As a result, consumers’ demand for, and willingness to accept, autonomous flight will significantly impact our financial performance. We believe that our leadership status in autonomous flight positions us to continue to set the standard for advanced autonomous solutions and will help us benefit from increasing consumer confidence in, and demand for, autonomous technology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capitalize on government expenditures in military defense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is largely dependent on our ability to continue to capitalize on increased government support and corporate investment in military technology, including autonomous aircraft. Military technological advancements are garnering significant bipartisan support from U.S. government initiatives, including as evidenced by our IDIQ award. Government expenditures and private sector investments have fueled our growth in recent years, which has resulted in our continued ability to secure increasingly valuable contracts for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time, we expect political support for military innovation and technology to increase, particularly as the military adopts cutting edge technologies such as autonomous flight. If political support for the prioritization of the development of military technology decreases, including due to policy changes by current or future administrations and changing congressional funding priorities, we may be unable to secure continued government funding, which would adversely affect our business, development timeline,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and maintain regulatory approvals at federal, state and local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capacity for continued growth and ability to achieve and maintain profitability depends in large part on our ability to operate effectively in multiple jurisdictions, including on an international, federal and local level. The federal government, along with each local jurisdiction (such as states, counties and townships) in which we operate, has unique regulatory dynamics. These include laws and regulations that can directly or indirectly affect our ability to operate across various jurisdictions, particularly as it relates to autonomous commercial aircraft, as well as matters related to insurance requirements and community support. We believe that we have an industry-leading licensing team of professionals who are in regular communication with the U.S. Federal Aviation Authority and other regulators, and our success will depend on our licensing team’s ability to continue to obtain and maintain regulatory approvals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expand our product services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offer customers a diversified suite of services throughout the life of the autonomous aircraft, beginning at the time in which we’ve successfully installed the Merlin Pilot and it starts to be deployed by our customers. Our suite of services is envisioned to include multifaceted offerings, whereby we intend to provide customers with critical services related to the deployment of our technology across the life of the aircraft. We expect that, as we refine our services offering as it is deployed by the U.S. Air Force, the number of services we offer and the percentage of revenue we generate from our service offerings will continue to grow. We anticipate that our service offering will have high penetration rates across our future clients and will provide consistent, recurring revenues throughout the expected life of an aircraft. If we are unable to expand our product services offerings, it would adversely affect our business, development timeline,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operating losses for the foreseeable future as we continue to expand and develop our technology, and we may need to raise additional capital in future periods. If we are unable to raise additional capital, we may have to significantly delay, scale back or discontinue one or more of our research and development programs. We may be required to cease operations or seek partners for Merlin Pilot at an earlier stage than otherwise would be desirable and on terms that are less favorable than might otherwise be available. In the absence of additional capital, we may also be required to relinquish, license or otherwise dispose of rights to technologies or products that we would otherwise seek to develop or commercialize on terms that are less favorable than might otherwise be available. If we are unable to secure additional capital, we may be required to take additional measures to reduce costs to conserve our cash in amounts sufficient to sustain operations and meet our obligations. These measures may significantly alter our future business plans and could cause significant delays in the development of our products and ultimately our financial condition and ability to operate as a going concern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such as high inflation and elevated interest rates, continue to be sources of volatility and uncertainty for global economic activity, and may affect our project costs and operations, as well as demand for the Merlin Pilot. Ongoing geopolitical conflicts in Ukraine, the Middle East, and tensions in United States-China relations may drive further economic instability and inflationary pressures, as well as increase risks for commercial and military aircraft. In the case of the military sector, these geopolitical conflicts have and may continue to impact the need for technological advances to keep the U.S. military at the forefront of the industrial world, which are generally beneficial for our business. However, such conflicts could also significantly impact commercial airline operations, which could negatively impact us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long-term contracts for the delivery of our Merlin Pilot software and supporting hardware. In order to satisfy these contracts we undertake engineering for research, design, development, manufacturing, integration and sustainment of advanced auto-piloting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cost of revenue consists primarily of labor, materials, travel, subcontractor costs and other expenses incurred directly in the execution of specific contracts.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cost of revenue to increase as revenue grows. As a percentage of revenue, cost of revenue may fluctuate from period to period based on the mix, timing, and execution of our contracts. Over the longer term, we expect cost of revenue to increase at a slower rate than revenue as we continue to scale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Research and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personnel-related costs for our development team, including salaries, benefits, bonuses, allocated overhead costs, and stock-based compensation expenses. Research and development expenses also include contractor or professional services fees, and third-party cloud infrastructure expenses incurred in developing our product offerings. In the near term, we expect that our research and development expenses will increase as we continue to invest in our product offerings and development capabilities, although these expenses may fluctuate as a percentage of our revenue from period to period. Research and development expense is reduced for amounts received by the Company in connection with research and development agreements with third-parties, where the Company is paid for research and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costs associated with our finance, legal, human resources and administrative personnel, including salaries, benefits, bonuses, allocated overhead costs, and stock-based compensation. General and administrative expenses also include external legal, accounting and other professional services fees, software services dedicated for use by our general and administrative functions, insurance and other corporate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consist primarily of personnel-related costs directly associated with our sales and marketing staff, including salaries, benefits, bonuses, commissions, allocated overhead costs, and stock-based compensation. Sales and marketing expenses also include advertising costs and other expenses associated with our marketing and business development programs. In addition, sales and marketing expenses consist of travel-related expenses, software services dedicated for use by our sales and marketing organizations and outside services contracted for sales and marketing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consists of interest income earned on cash and cash equivalents balances held in interest bearing time and money market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interest on our term borrowings and amortization of debt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consists of gains and losses on the disposal of assets and gains and losses from foreign currency transactions and remeasurements of foreign currency-denominated monetary assets and liabilities to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consists of gains and losses resulting from a change in fair value of our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consists of gains and losses resulting from a change in fair value of our convertible promissory notes, together with interest accrued on those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on Exchange of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exchange of warrant liabilities consists of the loss resulting from the exchange of preferred stock warrant liabilities for our convertible promissory notes and common stock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on Issuance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financial instruments consists of the loss resulting from the issuance of convertible promissory notes and common stock warrant liabilities when it was determined that the gross proceeds received were less than the fair value of the instruments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on Extinguishment of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long-term debt consists of the loss resulting from the extinguishment of our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long-term debt consists of gains and losses resulting from a change in fair value of our long-term debt, together with interest accrued on those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 consist primarily of income taxes related to foreign and state jurisdictions in which we conduct business. We maintain a valuation allowance on our federal and state deferred tax assets as we have concluded that it is not more likely than not that the deferred tax assets will be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results of operations for the fiscal periods presented. The period-to-period comparison of financial results is not necessarily indicative of future results.</w:t>
      </w:r>
    </w:p>
    <w:p>
      <w:pPr>
        <w:pStyle w:val="TextBody"/>
        <w:bidi w:val="0"/>
        <w:spacing w:before="0" w:after="0"/>
        <w:ind w:left="0" w:right="0" w:hanging="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4985"/>
        <w:gridCol w:w="60"/>
        <w:gridCol w:w="195"/>
        <w:gridCol w:w="1055"/>
        <w:gridCol w:w="132"/>
        <w:gridCol w:w="83"/>
        <w:gridCol w:w="195"/>
        <w:gridCol w:w="1055"/>
        <w:gridCol w:w="11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in thousands)</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7,551</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1,229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9,182</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8,500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(1,631</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(7,271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32,477</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27,146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20,093</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17,864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1,318</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1,744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53,888</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46,754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(55,519</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(54,025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1,443</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2,005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(2,957</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(2,420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85"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(159</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85"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(2,357</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85"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(7,563</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Loss on exchange of warrant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(3,320</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Loss on issuance of financial instruments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(585</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Loss on extinguishment of long-term debt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(2,157</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Change in fair value of long-term debt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(1,554</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shd w:fill="FFFFFF" w:val="clear"/>
            <w:vAlign w:val="center"/>
          </w:tcPr>
          <w:p>
            <w:pPr>
              <w:pStyle w:val="TableContents"/>
              <w:bidi w:val="0"/>
              <w:spacing w:before="0" w:after="283"/>
              <w:jc w:val="left"/>
              <w:rPr/>
            </w:pPr>
            <w:r>
              <w:rPr/>
              <w:t>Total other expense</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(19,209</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(877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85" w:type="dxa"/>
            <w:tcBorders/>
            <w:shd w:fill="CCEEFF" w:val="clear"/>
            <w:vAlign w:val="center"/>
          </w:tcPr>
          <w:p>
            <w:pPr>
              <w:pStyle w:val="TableContents"/>
              <w:bidi w:val="0"/>
              <w:spacing w:before="0" w:after="283"/>
              <w:jc w:val="left"/>
              <w:rPr/>
            </w:pPr>
            <w:r>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(74,728</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(54,902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85"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50</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351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(74,778</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(55,253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Comparison of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Revenue</w:t>
      </w:r>
    </w:p>
    <w:p>
      <w:pPr>
        <w:pStyle w:val="TextBody"/>
        <w:bidi w:val="0"/>
        <w:spacing w:before="0" w:after="0"/>
        <w:ind w:left="0" w:right="0" w:hanging="0"/>
        <w:jc w:val="left"/>
        <w:rPr>
          <w:caps w:val="false"/>
          <w:smallCaps w:val="false"/>
        </w:rPr>
      </w:pPr>
      <w:r>
        <w:rPr>
          <w:caps w:val="false"/>
          <w:smallCaps w:val="false"/>
        </w:rPr>
        <w:t> </w:t>
      </w:r>
    </w:p>
    <w:tbl>
      <w:tblPr>
        <w:tblW w:w="9893" w:type="dxa"/>
        <w:jc w:val="left"/>
        <w:tblInd w:w="0" w:type="dxa"/>
        <w:tblLayout w:type="fixed"/>
        <w:tblCellMar>
          <w:top w:w="0" w:type="dxa"/>
          <w:left w:w="0" w:type="dxa"/>
          <w:bottom w:w="0" w:type="dxa"/>
          <w:right w:w="0" w:type="dxa"/>
        </w:tblCellMar>
      </w:tblPr>
      <w:tblGrid>
        <w:gridCol w:w="4715"/>
        <w:gridCol w:w="60"/>
        <w:gridCol w:w="250"/>
        <w:gridCol w:w="1002"/>
        <w:gridCol w:w="107"/>
        <w:gridCol w:w="107"/>
        <w:gridCol w:w="250"/>
        <w:gridCol w:w="1002"/>
        <w:gridCol w:w="60"/>
        <w:gridCol w:w="60"/>
        <w:gridCol w:w="163"/>
        <w:gridCol w:w="652"/>
        <w:gridCol w:w="60"/>
        <w:gridCol w:w="60"/>
        <w:gridCol w:w="107"/>
        <w:gridCol w:w="1008"/>
        <w:gridCol w:w="230"/>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center"/>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center"/>
              <w:rPr/>
            </w:pPr>
            <w:r>
              <w:rPr/>
              <w:t> </w:t>
            </w:r>
          </w:p>
        </w:tc>
        <w:tc>
          <w:tcPr>
            <w:tcW w:w="107" w:type="dxa"/>
            <w:tcBorders/>
            <w:vAlign w:val="center"/>
          </w:tcPr>
          <w:p>
            <w:pPr>
              <w:pStyle w:val="TableContents"/>
              <w:bidi w:val="0"/>
              <w:spacing w:before="0" w:after="283"/>
              <w:jc w:val="center"/>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center"/>
              <w:rPr/>
            </w:pPr>
            <w:r>
              <w:rPr/>
              <w:t> </w:t>
            </w:r>
          </w:p>
        </w:tc>
      </w:tr>
      <w:tr>
        <w:trPr/>
        <w:tc>
          <w:tcPr>
            <w:tcW w:w="4715" w:type="dxa"/>
            <w:tcBorders/>
            <w:shd w:fill="CCEEFF" w:val="clear"/>
            <w:vAlign w:val="center"/>
          </w:tcPr>
          <w:p>
            <w:pPr>
              <w:pStyle w:val="TableContents"/>
              <w:bidi w:val="0"/>
              <w:spacing w:before="0" w:after="283"/>
              <w:jc w:val="left"/>
              <w:rPr/>
            </w:pPr>
            <w:r>
              <w:rPr/>
              <w:t>U.S. government agencies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7,342</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6,197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541.2</w:t>
            </w:r>
          </w:p>
        </w:tc>
        <w:tc>
          <w:tcPr>
            <w:tcW w:w="230"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pPr>
            <w:r>
              <w:rPr/>
              <w:t>Commercial and non-U.S. government customers</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209</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FFFFFF" w:val="clear"/>
            <w:tcMar>
              <w:bottom w:w="28" w:type="dxa"/>
            </w:tcMar>
            <w:vAlign w:val="center"/>
          </w:tcPr>
          <w:p>
            <w:pPr>
              <w:pStyle w:val="TableContents"/>
              <w:bidi w:val="0"/>
              <w:spacing w:before="0" w:after="283"/>
              <w:jc w:val="right"/>
              <w:rPr/>
            </w:pPr>
            <w:r>
              <w:rPr/>
              <w:t>148.8</w:t>
            </w:r>
          </w:p>
        </w:tc>
        <w:tc>
          <w:tcPr>
            <w:tcW w:w="230"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7,551</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1,229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pPr>
            <w:r>
              <w:rPr/>
              <w:t>6,322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283"/>
              <w:jc w:val="right"/>
              <w:rPr/>
            </w:pPr>
            <w:r>
              <w:rPr/>
              <w:t>514.4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Revenue for the year ended December 31, 2025, </w:t>
      </w:r>
      <w:r>
        <w:rPr>
          <w:rFonts w:ascii="Times New Roman;Times;Serif" w:hAnsi="Times New Roman;Times;Serif"/>
          <w:b w:val="false"/>
          <w:i w:val="false"/>
          <w:caps w:val="false"/>
          <w:smallCaps w:val="false"/>
          <w:sz w:val="20"/>
        </w:rPr>
        <w:t xml:space="preserve">increased </w:t>
      </w:r>
      <w:r>
        <w:rPr>
          <w:rFonts w:ascii="Times New Roman;Times;Serif" w:hAnsi="Times New Roman;Times;Serif"/>
          <w:b w:val="false"/>
          <w:i w:val="false"/>
          <w:caps w:val="false"/>
          <w:smallCaps w:val="false"/>
          <w:sz w:val="20"/>
          <w:shd w:fill="FFFFFF" w:val="clear"/>
        </w:rPr>
        <w:t xml:space="preserve">by $6,322 thousand, or </w:t>
      </w:r>
      <w:r>
        <w:rPr>
          <w:rFonts w:ascii="Times New Roman;Times;Serif" w:hAnsi="Times New Roman;Times;Serif"/>
          <w:b w:val="false"/>
          <w:i w:val="false"/>
          <w:caps w:val="false"/>
          <w:smallCaps w:val="false"/>
          <w:sz w:val="20"/>
        </w:rPr>
        <w:t>514.4%</w:t>
      </w:r>
      <w:r>
        <w:rPr>
          <w:rFonts w:ascii="Times New Roman;Times;Serif" w:hAnsi="Times New Roman;Times;Serif"/>
          <w:b w:val="false"/>
          <w:i w:val="false"/>
          <w:caps w:val="false"/>
          <w:smallCaps w:val="false"/>
          <w:sz w:val="20"/>
          <w:shd w:fill="FFFFFF" w:val="clear"/>
        </w:rPr>
        <w:t>, to $7,551 thousand compared to $1,229 thousand for the year ended December 31, 2024. This increase was primarily due to our USSOCOM Contract being in effect for the full year ended December 31, 2025 and only in effect for a portion of the year ended December 31, 2024. We expect it to be a key driver of revenue growth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tbl>
      <w:tblPr>
        <w:tblW w:w="6743" w:type="dxa"/>
        <w:jc w:val="left"/>
        <w:tblInd w:w="0" w:type="dxa"/>
        <w:tblLayout w:type="fixed"/>
        <w:tblCellMar>
          <w:top w:w="0" w:type="dxa"/>
          <w:left w:w="0" w:type="dxa"/>
          <w:bottom w:w="0" w:type="dxa"/>
          <w:right w:w="0" w:type="dxa"/>
        </w:tblCellMar>
      </w:tblPr>
      <w:tblGrid>
        <w:gridCol w:w="1565"/>
        <w:gridCol w:w="60"/>
        <w:gridCol w:w="250"/>
        <w:gridCol w:w="1002"/>
        <w:gridCol w:w="107"/>
        <w:gridCol w:w="107"/>
        <w:gridCol w:w="250"/>
        <w:gridCol w:w="1002"/>
        <w:gridCol w:w="60"/>
        <w:gridCol w:w="60"/>
        <w:gridCol w:w="219"/>
        <w:gridCol w:w="596"/>
        <w:gridCol w:w="60"/>
        <w:gridCol w:w="60"/>
        <w:gridCol w:w="176"/>
        <w:gridCol w:w="939"/>
        <w:gridCol w:w="230"/>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9,182</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8.0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Cost of revenue for the </w:t>
      </w:r>
      <w:r>
        <w:rPr>
          <w:rFonts w:ascii="Times New Roman;Times;Serif" w:hAnsi="Times New Roman;Times;Serif"/>
          <w:b w:val="false"/>
          <w:i w:val="false"/>
          <w:caps w:val="false"/>
          <w:smallCaps w:val="false"/>
          <w:sz w:val="20"/>
        </w:rPr>
        <w:t xml:space="preserve">year ended December 31, 2025, increased </w:t>
      </w:r>
      <w:r>
        <w:rPr>
          <w:rFonts w:ascii="Times New Roman;Times;Serif" w:hAnsi="Times New Roman;Times;Serif"/>
          <w:b w:val="false"/>
          <w:i w:val="false"/>
          <w:caps w:val="false"/>
          <w:smallCaps w:val="false"/>
          <w:sz w:val="20"/>
          <w:shd w:fill="FFFFFF" w:val="clear"/>
        </w:rPr>
        <w:t xml:space="preserve">by $682 thousand, or </w:t>
      </w:r>
      <w:r>
        <w:rPr>
          <w:rFonts w:ascii="Times New Roman;Times;Serif" w:hAnsi="Times New Roman;Times;Serif"/>
          <w:b w:val="false"/>
          <w:i w:val="false"/>
          <w:caps w:val="false"/>
          <w:smallCaps w:val="false"/>
          <w:sz w:val="20"/>
        </w:rPr>
        <w:t>8.0%</w:t>
      </w:r>
      <w:r>
        <w:rPr>
          <w:rFonts w:ascii="Times New Roman;Times;Serif" w:hAnsi="Times New Roman;Times;Serif"/>
          <w:b w:val="false"/>
          <w:i w:val="false"/>
          <w:caps w:val="false"/>
          <w:smallCaps w:val="false"/>
          <w:sz w:val="20"/>
          <w:shd w:fill="FFFFFF" w:val="clear"/>
        </w:rPr>
        <w:t xml:space="preserve">, to $9,182 thousand compared to $8,500 thousand for the </w:t>
      </w:r>
      <w:r>
        <w:rPr>
          <w:rFonts w:ascii="Times New Roman;Times;Serif" w:hAnsi="Times New Roman;Times;Serif"/>
          <w:b w:val="false"/>
          <w:i w:val="false"/>
          <w:caps w:val="false"/>
          <w:smallCaps w:val="false"/>
          <w:sz w:val="20"/>
        </w:rPr>
        <w:t>year ended December 31, 2024</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This increase was primarily the result of the establishment of a $1,451 thousand loss contract reserve, contractor costs incurred, and other direct charges to cost of revenue associated with </w:t>
      </w:r>
      <w:r>
        <w:rPr>
          <w:rFonts w:ascii="Times New Roman;Times;Serif" w:hAnsi="Times New Roman;Times;Serif"/>
          <w:b w:val="false"/>
          <w:i w:val="false"/>
          <w:caps w:val="false"/>
          <w:smallCaps w:val="false"/>
          <w:sz w:val="20"/>
          <w:shd w:fill="FFFFFF" w:val="clear"/>
        </w:rPr>
        <w:t>our USSOCOM Contract which was in effect for the full year ended December 31, 2025 and only in effect for a portion of the year ended December 31, 2024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tbl>
      <w:tblPr>
        <w:tblW w:w="7761" w:type="dxa"/>
        <w:jc w:val="left"/>
        <w:tblInd w:w="0" w:type="dxa"/>
        <w:tblLayout w:type="fixed"/>
        <w:tblCellMar>
          <w:top w:w="0" w:type="dxa"/>
          <w:left w:w="0" w:type="dxa"/>
          <w:bottom w:w="0" w:type="dxa"/>
          <w:right w:w="0" w:type="dxa"/>
        </w:tblCellMar>
      </w:tblPr>
      <w:tblGrid>
        <w:gridCol w:w="2585"/>
        <w:gridCol w:w="60"/>
        <w:gridCol w:w="216"/>
        <w:gridCol w:w="1050"/>
        <w:gridCol w:w="92"/>
        <w:gridCol w:w="92"/>
        <w:gridCol w:w="216"/>
        <w:gridCol w:w="1050"/>
        <w:gridCol w:w="60"/>
        <w:gridCol w:w="60"/>
        <w:gridCol w:w="163"/>
        <w:gridCol w:w="652"/>
        <w:gridCol w:w="60"/>
        <w:gridCol w:w="60"/>
        <w:gridCol w:w="133"/>
        <w:gridCol w:w="982"/>
        <w:gridCol w:w="23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32,477</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27,146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5,331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19.6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year ended December 31, 2025, increased by $5,331 thousand, or 19.6% to $32,477 compared to $27,146 thousand in the year ended December 31, 2024, due to increasing personnel related expenses from hiring of new and highly-skilled engineering talent, outsourcing to subject matter experts identified specifically to solve unique engineering challenges, and increased equipment and material costs. We expect our personnel related research and development expenses to increase as we continue to expand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tbl>
      <w:tblPr>
        <w:tblW w:w="7746" w:type="dxa"/>
        <w:jc w:val="left"/>
        <w:tblInd w:w="0" w:type="dxa"/>
        <w:tblLayout w:type="fixed"/>
        <w:tblCellMar>
          <w:top w:w="0" w:type="dxa"/>
          <w:left w:w="0" w:type="dxa"/>
          <w:bottom w:w="0" w:type="dxa"/>
          <w:right w:w="0" w:type="dxa"/>
        </w:tblCellMar>
      </w:tblPr>
      <w:tblGrid>
        <w:gridCol w:w="2570"/>
        <w:gridCol w:w="60"/>
        <w:gridCol w:w="216"/>
        <w:gridCol w:w="1050"/>
        <w:gridCol w:w="92"/>
        <w:gridCol w:w="92"/>
        <w:gridCol w:w="216"/>
        <w:gridCol w:w="1050"/>
        <w:gridCol w:w="60"/>
        <w:gridCol w:w="60"/>
        <w:gridCol w:w="163"/>
        <w:gridCol w:w="652"/>
        <w:gridCol w:w="60"/>
        <w:gridCol w:w="60"/>
        <w:gridCol w:w="133"/>
        <w:gridCol w:w="982"/>
        <w:gridCol w:w="23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20,093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17,864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2,229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12.5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year ended December 31, 2025, increased by $2,229 thousand, or 12.5% to $20,093 compared to $17,864 thousand in the year ended December 31, 2024. This was primarily due to an increase in legal, accounting, and other consulting expenses in preparation for a potential de-SPAC transaction. We expect our general and administrative expenses to increase as we hire additional personnel and professional services as we grow our business and prepare to operate as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left"/>
        <w:rPr>
          <w:caps w:val="false"/>
          <w:smallCaps w:val="false"/>
        </w:rPr>
      </w:pPr>
      <w:r>
        <w:rPr>
          <w:caps w:val="false"/>
          <w:smallCaps w:val="false"/>
        </w:rPr>
        <w:t> </w:t>
      </w:r>
    </w:p>
    <w:tbl>
      <w:tblPr>
        <w:tblW w:w="7393" w:type="dxa"/>
        <w:jc w:val="left"/>
        <w:tblInd w:w="0" w:type="dxa"/>
        <w:tblLayout w:type="fixed"/>
        <w:tblCellMar>
          <w:top w:w="0" w:type="dxa"/>
          <w:left w:w="0" w:type="dxa"/>
          <w:bottom w:w="0" w:type="dxa"/>
          <w:right w:w="0" w:type="dxa"/>
        </w:tblCellMar>
      </w:tblPr>
      <w:tblGrid>
        <w:gridCol w:w="2105"/>
        <w:gridCol w:w="60"/>
        <w:gridCol w:w="250"/>
        <w:gridCol w:w="1002"/>
        <w:gridCol w:w="107"/>
        <w:gridCol w:w="107"/>
        <w:gridCol w:w="250"/>
        <w:gridCol w:w="1002"/>
        <w:gridCol w:w="60"/>
        <w:gridCol w:w="60"/>
        <w:gridCol w:w="191"/>
        <w:gridCol w:w="624"/>
        <w:gridCol w:w="95"/>
        <w:gridCol w:w="60"/>
        <w:gridCol w:w="116"/>
        <w:gridCol w:w="999"/>
        <w:gridCol w:w="30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1,318</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(24.4</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for the year ended December 31, 2025, decreased by $426 thousand, or 24.4%, to $1,318 compared to $1,744 thousand in the year ended December 31, 2024. This was primarily due to a decrease in personnel and digital marketing 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tbl>
      <w:tblPr>
        <w:tblW w:w="6853" w:type="dxa"/>
        <w:jc w:val="left"/>
        <w:tblInd w:w="0" w:type="dxa"/>
        <w:tblLayout w:type="fixed"/>
        <w:tblCellMar>
          <w:top w:w="0" w:type="dxa"/>
          <w:left w:w="0" w:type="dxa"/>
          <w:bottom w:w="0" w:type="dxa"/>
          <w:right w:w="0" w:type="dxa"/>
        </w:tblCellMar>
      </w:tblPr>
      <w:tblGrid>
        <w:gridCol w:w="1565"/>
        <w:gridCol w:w="60"/>
        <w:gridCol w:w="250"/>
        <w:gridCol w:w="1002"/>
        <w:gridCol w:w="107"/>
        <w:gridCol w:w="107"/>
        <w:gridCol w:w="250"/>
        <w:gridCol w:w="1002"/>
        <w:gridCol w:w="60"/>
        <w:gridCol w:w="60"/>
        <w:gridCol w:w="191"/>
        <w:gridCol w:w="624"/>
        <w:gridCol w:w="95"/>
        <w:gridCol w:w="60"/>
        <w:gridCol w:w="116"/>
        <w:gridCol w:w="999"/>
        <w:gridCol w:w="305"/>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1,443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2,005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(28.0</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for the year ended December 31, 2025 decreased by $562 thousand, or 28.0%, to $1,443 thousand, compared to $2,005 thousand for the year ended December 31, 2024, primarily due to lower average cash and cash equivalent balances held in interest-bearing bank accounts during 2025 as cash was used to fund operating expenses. Although interest rates may have fluctuated between periods, the decrease in interest income was primarily driven by lower average cash balances in 2025 relative to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tbl>
      <w:tblPr>
        <w:tblW w:w="6624" w:type="dxa"/>
        <w:jc w:val="left"/>
        <w:tblInd w:w="0" w:type="dxa"/>
        <w:tblLayout w:type="fixed"/>
        <w:tblCellMar>
          <w:top w:w="0" w:type="dxa"/>
          <w:left w:w="0" w:type="dxa"/>
          <w:bottom w:w="0" w:type="dxa"/>
          <w:right w:w="0" w:type="dxa"/>
        </w:tblCellMar>
      </w:tblPr>
      <w:tblGrid>
        <w:gridCol w:w="1565"/>
        <w:gridCol w:w="60"/>
        <w:gridCol w:w="241"/>
        <w:gridCol w:w="964"/>
        <w:gridCol w:w="103"/>
        <w:gridCol w:w="103"/>
        <w:gridCol w:w="241"/>
        <w:gridCol w:w="964"/>
        <w:gridCol w:w="103"/>
        <w:gridCol w:w="60"/>
        <w:gridCol w:w="196"/>
        <w:gridCol w:w="533"/>
        <w:gridCol w:w="86"/>
        <w:gridCol w:w="60"/>
        <w:gridCol w:w="133"/>
        <w:gridCol w:w="982"/>
        <w:gridCol w:w="230"/>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2220" w:type="dxa"/>
            <w:gridSpan w:val="7"/>
            <w:tcBorders/>
            <w:vAlign w:val="center"/>
          </w:tcPr>
          <w:p>
            <w:pPr>
              <w:pStyle w:val="TableContents"/>
              <w:bidi w:val="0"/>
              <w:spacing w:before="0" w:after="283"/>
              <w:jc w:val="center"/>
              <w:rPr/>
            </w:pPr>
            <w:r>
              <w:rPr/>
              <w:t> </w:t>
            </w:r>
          </w:p>
        </w:tc>
      </w:tr>
      <w:tr>
        <w:trPr/>
        <w:tc>
          <w:tcPr>
            <w:tcW w:w="1565"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08"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3" w:type="dxa"/>
            <w:tcBorders/>
            <w:vAlign w:val="center"/>
          </w:tcPr>
          <w:p>
            <w:pPr>
              <w:pStyle w:val="TableContents"/>
              <w:bidi w:val="0"/>
              <w:spacing w:before="0" w:after="283"/>
              <w:jc w:val="left"/>
              <w:rPr/>
            </w:pPr>
            <w:r>
              <w:rPr/>
              <w:t> </w:t>
            </w:r>
          </w:p>
        </w:tc>
        <w:tc>
          <w:tcPr>
            <w:tcW w:w="1308"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815"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center"/>
              <w:rPr/>
            </w:pPr>
            <w:r>
              <w:rPr/>
              <w:t> </w:t>
            </w:r>
          </w:p>
        </w:tc>
      </w:tr>
      <w:tr>
        <w:trPr/>
        <w:tc>
          <w:tcPr>
            <w:tcW w:w="156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283"/>
              <w:jc w:val="right"/>
              <w:rPr/>
            </w:pPr>
            <w:r>
              <w:rPr/>
              <w:t>2,957</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283"/>
              <w:jc w:val="right"/>
              <w:rPr/>
            </w:pPr>
            <w:r>
              <w:rPr/>
              <w:t>2,420</w:t>
            </w:r>
          </w:p>
        </w:tc>
        <w:tc>
          <w:tcPr>
            <w:tcW w:w="1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533" w:type="dxa"/>
            <w:tcBorders/>
            <w:shd w:fill="CCEEFF" w:val="clear"/>
            <w:vAlign w:val="center"/>
          </w:tcPr>
          <w:p>
            <w:pPr>
              <w:pStyle w:val="TableContents"/>
              <w:bidi w:val="0"/>
              <w:spacing w:before="0" w:after="283"/>
              <w:jc w:val="right"/>
              <w:rPr/>
            </w:pPr>
            <w:r>
              <w:rPr/>
              <w:t>537</w:t>
            </w:r>
          </w:p>
        </w:tc>
        <w:tc>
          <w:tcPr>
            <w:tcW w:w="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22.2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year ended December 31, 2025, increased by $537 thousand, or 22.2%, to $2,957 thousand compared to $2,420 thousand in the year ended December 31, 2024. The increase was primarily driven by an additional $668 thousand of interest expense related to the 2024 LSA term loans, which were outstanding for a longer portion of 2025. This increase was partially offset by the repayment in July 2025 of the 2021 LSA term loans, which had been outstanding for the full year ended December 31, 2024. In addition, beginning in July 2025, the Company elected the fair value option for the 2024 LSA term loans. As a result, $1,720 thousand of cash interest costs related to those loans was recognized as a change in fair value of long-term debt rather than in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w:t>
      </w:r>
    </w:p>
    <w:p>
      <w:pPr>
        <w:pStyle w:val="TextBody"/>
        <w:bidi w:val="0"/>
        <w:spacing w:before="0" w:after="0"/>
        <w:ind w:left="0" w:right="0" w:hanging="0"/>
        <w:jc w:val="left"/>
        <w:rPr>
          <w:caps w:val="false"/>
          <w:smallCaps w:val="false"/>
        </w:rPr>
      </w:pPr>
      <w:r>
        <w:rPr>
          <w:caps w:val="false"/>
          <w:smallCaps w:val="false"/>
        </w:rPr>
        <w:t> </w:t>
      </w:r>
    </w:p>
    <w:tbl>
      <w:tblPr>
        <w:tblW w:w="6854" w:type="dxa"/>
        <w:jc w:val="left"/>
        <w:tblInd w:w="0" w:type="dxa"/>
        <w:tblLayout w:type="fixed"/>
        <w:tblCellMar>
          <w:top w:w="0" w:type="dxa"/>
          <w:left w:w="0" w:type="dxa"/>
          <w:bottom w:w="0" w:type="dxa"/>
          <w:right w:w="0" w:type="dxa"/>
        </w:tblCellMar>
      </w:tblPr>
      <w:tblGrid>
        <w:gridCol w:w="1565"/>
        <w:gridCol w:w="60"/>
        <w:gridCol w:w="283"/>
        <w:gridCol w:w="920"/>
        <w:gridCol w:w="192"/>
        <w:gridCol w:w="121"/>
        <w:gridCol w:w="283"/>
        <w:gridCol w:w="920"/>
        <w:gridCol w:w="95"/>
        <w:gridCol w:w="60"/>
        <w:gridCol w:w="285"/>
        <w:gridCol w:w="530"/>
        <w:gridCol w:w="60"/>
        <w:gridCol w:w="60"/>
        <w:gridCol w:w="116"/>
        <w:gridCol w:w="999"/>
        <w:gridCol w:w="305"/>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9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(159</w:t>
            </w:r>
          </w:p>
        </w:tc>
        <w:tc>
          <w:tcPr>
            <w:tcW w:w="192"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(197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530"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(19.3</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expense for the year ended December 31, 2025, decreased by </w:t>
      </w:r>
      <w:r>
        <w:rPr>
          <w:rFonts w:ascii="Times New Roman;Times;Serif" w:hAnsi="Times New Roman;Times;Serif"/>
          <w:b w:val="false"/>
          <w:i w:val="false"/>
          <w:caps w:val="false"/>
          <w:smallCaps w:val="false"/>
          <w:sz w:val="20"/>
          <w:shd w:fill="FFFFFF" w:val="clear"/>
        </w:rPr>
        <w:t>$38 thousand</w:t>
      </w:r>
      <w:r>
        <w:rPr>
          <w:rFonts w:ascii="Times New Roman;Times;Serif" w:hAnsi="Times New Roman;Times;Serif"/>
          <w:b w:val="false"/>
          <w:i w:val="false"/>
          <w:caps w:val="false"/>
          <w:smallCaps w:val="false"/>
          <w:sz w:val="20"/>
        </w:rPr>
        <w:t xml:space="preserve">, or 19.3%, to $159 thousand compared to </w:t>
      </w:r>
      <w:r>
        <w:rPr>
          <w:rFonts w:ascii="Times New Roman;Times;Serif" w:hAnsi="Times New Roman;Times;Serif"/>
          <w:b w:val="false"/>
          <w:i w:val="false"/>
          <w:caps w:val="false"/>
          <w:smallCaps w:val="false"/>
          <w:sz w:val="20"/>
          <w:shd w:fill="FFFFFF" w:val="clear"/>
        </w:rPr>
        <w:t>$197 thousand</w:t>
      </w:r>
      <w:r>
        <w:rPr>
          <w:rFonts w:ascii="Times New Roman;Times;Serif" w:hAnsi="Times New Roman;Times;Serif"/>
          <w:b w:val="false"/>
          <w:i w:val="false"/>
          <w:caps w:val="false"/>
          <w:smallCaps w:val="false"/>
          <w:sz w:val="20"/>
        </w:rPr>
        <w:t xml:space="preserve"> in the year ended December 31, 2024, primarily driven by the recognition of a gain upon the receipt of insurance proceeds related to damaged aircraft of $120 thousand, offset by an increase in foreign currency losses of $84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 Liabilities</w:t>
      </w:r>
    </w:p>
    <w:p>
      <w:pPr>
        <w:pStyle w:val="TextBody"/>
        <w:bidi w:val="0"/>
        <w:spacing w:before="0" w:after="0"/>
        <w:ind w:left="0" w:right="0" w:hanging="0"/>
        <w:jc w:val="both"/>
        <w:rPr>
          <w:caps w:val="false"/>
          <w:smallCaps w:val="false"/>
        </w:rPr>
      </w:pPr>
      <w:r>
        <w:rPr>
          <w:caps w:val="false"/>
          <w:smallCaps w:val="false"/>
        </w:rPr>
        <w:t> </w:t>
      </w:r>
    </w:p>
    <w:tbl>
      <w:tblPr>
        <w:tblW w:w="9137" w:type="dxa"/>
        <w:jc w:val="left"/>
        <w:tblInd w:w="0" w:type="dxa"/>
        <w:tblLayout w:type="fixed"/>
        <w:tblCellMar>
          <w:top w:w="0" w:type="dxa"/>
          <w:left w:w="0" w:type="dxa"/>
          <w:bottom w:w="0" w:type="dxa"/>
          <w:right w:w="0" w:type="dxa"/>
        </w:tblCellMar>
      </w:tblPr>
      <w:tblGrid>
        <w:gridCol w:w="3890"/>
        <w:gridCol w:w="60"/>
        <w:gridCol w:w="249"/>
        <w:gridCol w:w="1132"/>
        <w:gridCol w:w="169"/>
        <w:gridCol w:w="107"/>
        <w:gridCol w:w="249"/>
        <w:gridCol w:w="811"/>
        <w:gridCol w:w="95"/>
        <w:gridCol w:w="60"/>
        <w:gridCol w:w="147"/>
        <w:gridCol w:w="668"/>
        <w:gridCol w:w="95"/>
        <w:gridCol w:w="60"/>
        <w:gridCol w:w="107"/>
        <w:gridCol w:w="1008"/>
        <w:gridCol w:w="23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(2,357</w:t>
            </w:r>
          </w:p>
        </w:tc>
        <w:tc>
          <w:tcPr>
            <w:tcW w:w="169"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811" w:type="dxa"/>
            <w:tcBorders/>
            <w:shd w:fill="CCEEFF" w:val="clear"/>
            <w:vAlign w:val="center"/>
          </w:tcPr>
          <w:p>
            <w:pPr>
              <w:pStyle w:val="TableContents"/>
              <w:bidi w:val="0"/>
              <w:spacing w:before="0" w:after="283"/>
              <w:jc w:val="right"/>
              <w:rPr/>
            </w:pPr>
            <w:r>
              <w:rPr/>
              <w:t>(265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(2,092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789.4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for the year ended December 31, 2025, resulted in an increased loss of $2,092 thousand, or 789.4%, to $2,357 thousand compared to $265 thousand in the year ended December 31, 2024, primarily due to the issuance of liability classified warrants related to the Pre-PIPE Bridge and the Pre-Funded PIPE.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w:t>
      </w:r>
    </w:p>
    <w:p>
      <w:pPr>
        <w:pStyle w:val="TextBody"/>
        <w:bidi w:val="0"/>
        <w:spacing w:before="0" w:after="0"/>
        <w:ind w:left="0" w:right="0" w:hanging="0"/>
        <w:jc w:val="both"/>
        <w:rPr>
          <w:caps w:val="false"/>
          <w:smallCaps w:val="false"/>
        </w:rPr>
      </w:pPr>
      <w:r>
        <w:rPr>
          <w:caps w:val="false"/>
          <w:smallCaps w:val="false"/>
        </w:rPr>
        <w:t> </w:t>
      </w:r>
    </w:p>
    <w:tbl>
      <w:tblPr>
        <w:tblW w:w="10197" w:type="dxa"/>
        <w:jc w:val="left"/>
        <w:tblInd w:w="0" w:type="dxa"/>
        <w:tblLayout w:type="fixed"/>
        <w:tblCellMar>
          <w:top w:w="0" w:type="dxa"/>
          <w:left w:w="0" w:type="dxa"/>
          <w:bottom w:w="0" w:type="dxa"/>
          <w:right w:w="0" w:type="dxa"/>
        </w:tblCellMar>
      </w:tblPr>
      <w:tblGrid>
        <w:gridCol w:w="4985"/>
        <w:gridCol w:w="60"/>
        <w:gridCol w:w="286"/>
        <w:gridCol w:w="1298"/>
        <w:gridCol w:w="194"/>
        <w:gridCol w:w="122"/>
        <w:gridCol w:w="286"/>
        <w:gridCol w:w="531"/>
        <w:gridCol w:w="60"/>
        <w:gridCol w:w="60"/>
        <w:gridCol w:w="147"/>
        <w:gridCol w:w="668"/>
        <w:gridCol w:w="95"/>
        <w:gridCol w:w="60"/>
        <w:gridCol w:w="209"/>
        <w:gridCol w:w="906"/>
        <w:gridCol w:w="23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5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94"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8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(7,563</w:t>
            </w:r>
          </w:p>
        </w:tc>
        <w:tc>
          <w:tcPr>
            <w:tcW w:w="194" w:type="dxa"/>
            <w:tcBorders/>
            <w:shd w:fill="CCEEFF" w:val="clear"/>
            <w:vAlign w:val="center"/>
          </w:tcPr>
          <w:p>
            <w:pPr>
              <w:pStyle w:val="TableContents"/>
              <w:bidi w:val="0"/>
              <w:spacing w:before="0" w:after="283"/>
              <w:jc w:val="left"/>
              <w:rPr/>
            </w:pPr>
            <w:r>
              <w:rPr/>
              <w:t>)</w:t>
            </w:r>
          </w:p>
        </w:tc>
        <w:tc>
          <w:tcPr>
            <w:tcW w:w="122"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5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(7,563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for the year ended December 31, 2025, increased to $7,563 thousand compared to the year ended December 31, 2024, due the issuance of convertible promissory notes related to the Pre-PIPE Bridge and the Pre-Funded PIPE.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on Exchange of Warrant Liabilities</w:t>
      </w:r>
    </w:p>
    <w:p>
      <w:pPr>
        <w:pStyle w:val="TextBody"/>
        <w:bidi w:val="0"/>
        <w:spacing w:before="0" w:after="0"/>
        <w:ind w:left="0" w:right="0" w:hanging="0"/>
        <w:jc w:val="both"/>
        <w:rPr>
          <w:caps w:val="false"/>
          <w:smallCaps w:val="false"/>
        </w:rPr>
      </w:pPr>
      <w:r>
        <w:rPr>
          <w:caps w:val="false"/>
          <w:smallCaps w:val="false"/>
        </w:rPr>
        <w:t> </w:t>
      </w:r>
    </w:p>
    <w:tbl>
      <w:tblPr>
        <w:tblW w:w="8892" w:type="dxa"/>
        <w:jc w:val="left"/>
        <w:tblInd w:w="0" w:type="dxa"/>
        <w:tblLayout w:type="fixed"/>
        <w:tblCellMar>
          <w:top w:w="0" w:type="dxa"/>
          <w:left w:w="0" w:type="dxa"/>
          <w:bottom w:w="0" w:type="dxa"/>
          <w:right w:w="0" w:type="dxa"/>
        </w:tblCellMar>
      </w:tblPr>
      <w:tblGrid>
        <w:gridCol w:w="3680"/>
        <w:gridCol w:w="60"/>
        <w:gridCol w:w="286"/>
        <w:gridCol w:w="1298"/>
        <w:gridCol w:w="194"/>
        <w:gridCol w:w="122"/>
        <w:gridCol w:w="286"/>
        <w:gridCol w:w="531"/>
        <w:gridCol w:w="60"/>
        <w:gridCol w:w="60"/>
        <w:gridCol w:w="147"/>
        <w:gridCol w:w="668"/>
        <w:gridCol w:w="95"/>
        <w:gridCol w:w="60"/>
        <w:gridCol w:w="209"/>
        <w:gridCol w:w="906"/>
        <w:gridCol w:w="230"/>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5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94"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8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Loss on exchange of warrant liabilities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(3,320</w:t>
            </w:r>
          </w:p>
        </w:tc>
        <w:tc>
          <w:tcPr>
            <w:tcW w:w="194" w:type="dxa"/>
            <w:tcBorders/>
            <w:shd w:fill="CCEEFF" w:val="clear"/>
            <w:vAlign w:val="center"/>
          </w:tcPr>
          <w:p>
            <w:pPr>
              <w:pStyle w:val="TableContents"/>
              <w:bidi w:val="0"/>
              <w:spacing w:before="0" w:after="283"/>
              <w:jc w:val="left"/>
              <w:rPr/>
            </w:pPr>
            <w:r>
              <w:rPr/>
              <w:t>)</w:t>
            </w:r>
          </w:p>
        </w:tc>
        <w:tc>
          <w:tcPr>
            <w:tcW w:w="122"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5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(3,320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exchange of warrant liabilities for the year ended December 31, 2025, increased to $3,320 thousand, compared to the year ended December 31, 2024, due to the exchange of 2024 LSA Warrants for Pre-PIPE Bridge Notes and Warrants in August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on Issuance of Financial Instruments</w:t>
      </w:r>
    </w:p>
    <w:p>
      <w:pPr>
        <w:pStyle w:val="TextBody"/>
        <w:bidi w:val="0"/>
        <w:spacing w:before="0" w:after="0"/>
        <w:ind w:left="0" w:right="0" w:hanging="0"/>
        <w:jc w:val="both"/>
        <w:rPr>
          <w:caps w:val="false"/>
          <w:smallCaps w:val="false"/>
        </w:rPr>
      </w:pPr>
      <w:r>
        <w:rPr>
          <w:caps w:val="false"/>
          <w:smallCaps w:val="false"/>
        </w:rPr>
        <w:t> </w:t>
      </w:r>
    </w:p>
    <w:tbl>
      <w:tblPr>
        <w:tblW w:w="9117" w:type="dxa"/>
        <w:jc w:val="left"/>
        <w:tblInd w:w="0" w:type="dxa"/>
        <w:tblLayout w:type="fixed"/>
        <w:tblCellMar>
          <w:top w:w="0" w:type="dxa"/>
          <w:left w:w="0" w:type="dxa"/>
          <w:bottom w:w="0" w:type="dxa"/>
          <w:right w:w="0" w:type="dxa"/>
        </w:tblCellMar>
      </w:tblPr>
      <w:tblGrid>
        <w:gridCol w:w="3905"/>
        <w:gridCol w:w="60"/>
        <w:gridCol w:w="331"/>
        <w:gridCol w:w="1076"/>
        <w:gridCol w:w="224"/>
        <w:gridCol w:w="141"/>
        <w:gridCol w:w="331"/>
        <w:gridCol w:w="614"/>
        <w:gridCol w:w="60"/>
        <w:gridCol w:w="60"/>
        <w:gridCol w:w="191"/>
        <w:gridCol w:w="624"/>
        <w:gridCol w:w="95"/>
        <w:gridCol w:w="60"/>
        <w:gridCol w:w="209"/>
        <w:gridCol w:w="906"/>
        <w:gridCol w:w="230"/>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24"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Loss on issuance of financial instruments</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076" w:type="dxa"/>
            <w:tcBorders/>
            <w:shd w:fill="CCEEFF" w:val="clear"/>
            <w:vAlign w:val="center"/>
          </w:tcPr>
          <w:p>
            <w:pPr>
              <w:pStyle w:val="TableContents"/>
              <w:bidi w:val="0"/>
              <w:spacing w:before="0" w:after="283"/>
              <w:jc w:val="right"/>
              <w:rPr/>
            </w:pPr>
            <w:r>
              <w:rPr/>
              <w:t>(585</w:t>
            </w:r>
          </w:p>
        </w:tc>
        <w:tc>
          <w:tcPr>
            <w:tcW w:w="224" w:type="dxa"/>
            <w:tcBorders/>
            <w:shd w:fill="CCEEFF" w:val="clear"/>
            <w:vAlign w:val="center"/>
          </w:tcPr>
          <w:p>
            <w:pPr>
              <w:pStyle w:val="TableContents"/>
              <w:bidi w:val="0"/>
              <w:spacing w:before="0" w:after="283"/>
              <w:jc w:val="left"/>
              <w:rPr/>
            </w:pPr>
            <w:r>
              <w:rPr/>
              <w:t>)</w:t>
            </w:r>
          </w:p>
        </w:tc>
        <w:tc>
          <w:tcPr>
            <w:tcW w:w="141"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(585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financial instruments for the year ended December 31, 2025, increased to $585 thousand compared to the year ended December 31, 2024, due to the Company receiving gross proceeds that were less than the fair value of Pre-PIPE Bridge Notes and Warrants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on Extinguishment of Long-term Debt</w:t>
      </w:r>
    </w:p>
    <w:p>
      <w:pPr>
        <w:pStyle w:val="TextBody"/>
        <w:bidi w:val="0"/>
        <w:spacing w:before="0" w:after="0"/>
        <w:ind w:left="0" w:right="0" w:hanging="0"/>
        <w:jc w:val="both"/>
        <w:rPr>
          <w:caps w:val="false"/>
          <w:smallCaps w:val="false"/>
        </w:rPr>
      </w:pPr>
      <w:r>
        <w:rPr>
          <w:caps w:val="false"/>
          <w:smallCaps w:val="false"/>
        </w:rPr>
        <w:t> </w:t>
      </w:r>
    </w:p>
    <w:tbl>
      <w:tblPr>
        <w:tblW w:w="9192" w:type="dxa"/>
        <w:jc w:val="left"/>
        <w:tblInd w:w="0" w:type="dxa"/>
        <w:tblLayout w:type="fixed"/>
        <w:tblCellMar>
          <w:top w:w="0" w:type="dxa"/>
          <w:left w:w="0" w:type="dxa"/>
          <w:bottom w:w="0" w:type="dxa"/>
          <w:right w:w="0" w:type="dxa"/>
        </w:tblCellMar>
      </w:tblPr>
      <w:tblGrid>
        <w:gridCol w:w="3980"/>
        <w:gridCol w:w="60"/>
        <w:gridCol w:w="286"/>
        <w:gridCol w:w="1298"/>
        <w:gridCol w:w="194"/>
        <w:gridCol w:w="122"/>
        <w:gridCol w:w="286"/>
        <w:gridCol w:w="531"/>
        <w:gridCol w:w="60"/>
        <w:gridCol w:w="60"/>
        <w:gridCol w:w="147"/>
        <w:gridCol w:w="668"/>
        <w:gridCol w:w="95"/>
        <w:gridCol w:w="60"/>
        <w:gridCol w:w="209"/>
        <w:gridCol w:w="906"/>
        <w:gridCol w:w="23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5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94"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8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Loss on extinguishment of long-term debt</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(2,157</w:t>
            </w:r>
          </w:p>
        </w:tc>
        <w:tc>
          <w:tcPr>
            <w:tcW w:w="194" w:type="dxa"/>
            <w:tcBorders/>
            <w:shd w:fill="CCEEFF" w:val="clear"/>
            <w:vAlign w:val="center"/>
          </w:tcPr>
          <w:p>
            <w:pPr>
              <w:pStyle w:val="TableContents"/>
              <w:bidi w:val="0"/>
              <w:spacing w:before="0" w:after="283"/>
              <w:jc w:val="left"/>
              <w:rPr/>
            </w:pPr>
            <w:r>
              <w:rPr/>
              <w:t>)</w:t>
            </w:r>
          </w:p>
        </w:tc>
        <w:tc>
          <w:tcPr>
            <w:tcW w:w="122"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5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(2,157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long-term debt for the year ended December 31, 2025, increased to $2,157 thousand compared to the year ended December 31, 2024, related to the extinguishment of our term loans (2024 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Long-term Debt</w:t>
      </w:r>
    </w:p>
    <w:p>
      <w:pPr>
        <w:pStyle w:val="TextBody"/>
        <w:bidi w:val="0"/>
        <w:spacing w:before="0" w:after="0"/>
        <w:ind w:left="0" w:right="0" w:hanging="0"/>
        <w:jc w:val="both"/>
        <w:rPr>
          <w:caps w:val="false"/>
          <w:smallCaps w:val="false"/>
        </w:rPr>
      </w:pPr>
      <w:r>
        <w:rPr>
          <w:caps w:val="false"/>
          <w:smallCaps w:val="false"/>
        </w:rPr>
        <w:t> </w:t>
      </w:r>
    </w:p>
    <w:tbl>
      <w:tblPr>
        <w:tblW w:w="8862" w:type="dxa"/>
        <w:jc w:val="left"/>
        <w:tblInd w:w="0" w:type="dxa"/>
        <w:tblLayout w:type="fixed"/>
        <w:tblCellMar>
          <w:top w:w="0" w:type="dxa"/>
          <w:left w:w="0" w:type="dxa"/>
          <w:bottom w:w="0" w:type="dxa"/>
          <w:right w:w="0" w:type="dxa"/>
        </w:tblCellMar>
      </w:tblPr>
      <w:tblGrid>
        <w:gridCol w:w="3650"/>
        <w:gridCol w:w="60"/>
        <w:gridCol w:w="286"/>
        <w:gridCol w:w="1298"/>
        <w:gridCol w:w="194"/>
        <w:gridCol w:w="122"/>
        <w:gridCol w:w="286"/>
        <w:gridCol w:w="531"/>
        <w:gridCol w:w="60"/>
        <w:gridCol w:w="60"/>
        <w:gridCol w:w="147"/>
        <w:gridCol w:w="668"/>
        <w:gridCol w:w="95"/>
        <w:gridCol w:w="60"/>
        <w:gridCol w:w="209"/>
        <w:gridCol w:w="906"/>
        <w:gridCol w:w="230"/>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5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94"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8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Change in fair value of long-term debt</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(1,554</w:t>
            </w:r>
          </w:p>
        </w:tc>
        <w:tc>
          <w:tcPr>
            <w:tcW w:w="194" w:type="dxa"/>
            <w:tcBorders/>
            <w:shd w:fill="CCEEFF" w:val="clear"/>
            <w:vAlign w:val="center"/>
          </w:tcPr>
          <w:p>
            <w:pPr>
              <w:pStyle w:val="TableContents"/>
              <w:bidi w:val="0"/>
              <w:spacing w:before="0" w:after="283"/>
              <w:jc w:val="left"/>
              <w:rPr/>
            </w:pPr>
            <w:r>
              <w:rPr/>
              <w:t>)</w:t>
            </w:r>
          </w:p>
        </w:tc>
        <w:tc>
          <w:tcPr>
            <w:tcW w:w="122"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5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(1,554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change in fair value of long-term debt for the year ended December 31, 2025, increased to $1,554 thousand compared to the year ended December 31, 2024, due to the election of the fair value option for our amended term loans (2024 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tbl>
      <w:tblPr>
        <w:tblW w:w="7843" w:type="dxa"/>
        <w:jc w:val="left"/>
        <w:tblInd w:w="0" w:type="dxa"/>
        <w:tblLayout w:type="fixed"/>
        <w:tblCellMar>
          <w:top w:w="0" w:type="dxa"/>
          <w:left w:w="0" w:type="dxa"/>
          <w:bottom w:w="0" w:type="dxa"/>
          <w:right w:w="0" w:type="dxa"/>
        </w:tblCellMar>
      </w:tblPr>
      <w:tblGrid>
        <w:gridCol w:w="2555"/>
        <w:gridCol w:w="60"/>
        <w:gridCol w:w="366"/>
        <w:gridCol w:w="678"/>
        <w:gridCol w:w="154"/>
        <w:gridCol w:w="154"/>
        <w:gridCol w:w="366"/>
        <w:gridCol w:w="1000"/>
        <w:gridCol w:w="60"/>
        <w:gridCol w:w="60"/>
        <w:gridCol w:w="191"/>
        <w:gridCol w:w="624"/>
        <w:gridCol w:w="95"/>
        <w:gridCol w:w="60"/>
        <w:gridCol w:w="116"/>
        <w:gridCol w:w="999"/>
        <w:gridCol w:w="30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3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w:t>
            </w:r>
          </w:p>
        </w:tc>
        <w:tc>
          <w:tcPr>
            <w:tcW w:w="678" w:type="dxa"/>
            <w:tcBorders/>
            <w:shd w:fill="CCEEFF" w:val="clear"/>
            <w:vAlign w:val="center"/>
          </w:tcPr>
          <w:p>
            <w:pPr>
              <w:pStyle w:val="TableContents"/>
              <w:bidi w:val="0"/>
              <w:spacing w:before="0" w:after="283"/>
              <w:jc w:val="right"/>
              <w:rPr/>
            </w:pPr>
            <w:r>
              <w:rPr/>
              <w:t>50</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(301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(85.8</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Provision for income tax expense for the year ended December 31, 2025, decreased by </w:t>
      </w:r>
      <w:r>
        <w:rPr>
          <w:rFonts w:ascii="Times New Roman;Times;Serif" w:hAnsi="Times New Roman;Times;Serif"/>
          <w:b w:val="false"/>
          <w:i w:val="false"/>
          <w:caps w:val="false"/>
          <w:smallCaps w:val="false"/>
          <w:sz w:val="20"/>
          <w:shd w:fill="FFFFFF" w:val="clear"/>
        </w:rPr>
        <w:t>$301 thousand</w:t>
      </w:r>
      <w:r>
        <w:rPr>
          <w:rFonts w:ascii="Times New Roman;Times;Serif" w:hAnsi="Times New Roman;Times;Serif"/>
          <w:b w:val="false"/>
          <w:i w:val="false"/>
          <w:caps w:val="false"/>
          <w:smallCaps w:val="false"/>
          <w:sz w:val="20"/>
        </w:rPr>
        <w:t xml:space="preserve">, or 85.8%, to $50 compared to </w:t>
      </w:r>
      <w:r>
        <w:rPr>
          <w:rFonts w:ascii="Times New Roman;Times;Serif" w:hAnsi="Times New Roman;Times;Serif"/>
          <w:b w:val="false"/>
          <w:i w:val="false"/>
          <w:caps w:val="false"/>
          <w:smallCaps w:val="false"/>
          <w:sz w:val="20"/>
          <w:shd w:fill="FFFFFF" w:val="clear"/>
        </w:rPr>
        <w:t>$351 thousand</w:t>
      </w:r>
      <w:r>
        <w:rPr>
          <w:rFonts w:ascii="Times New Roman;Times;Serif" w:hAnsi="Times New Roman;Times;Serif"/>
          <w:b w:val="false"/>
          <w:i w:val="false"/>
          <w:caps w:val="false"/>
          <w:smallCaps w:val="false"/>
          <w:sz w:val="20"/>
        </w:rPr>
        <w:t xml:space="preserve"> in the year ended December 31, 2024. This decrease in provision for income taxes is primarily driven by a decrease in foreign tax expenses for the Merlin Labs NZ Limited entity, which decreased by $284 thousand.</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EBITDA and Adjusted EBITDA, non-GAAP financial measures, provide investors with additional useful information in evaluating our performance. We define EBITDA as net loss before interest expense or income, income tax expense or benefit, and depreciation and amortization. We define Adjusted EBITDA as EBITDA adjusted for stock-based compensation and other non-cash, one-time, and non-recurring items, as determined by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each of these non-GAAP financial measures provide additional metrics to evaluate our operations and, when considered with both our U.S. GAAP results and the reconciliation to the closest comparable U.S. GAAP measures, provide a more complete understanding of our business than could be obtained absent this disclosure. We use the non-GAAP financial measures, together with U.S. GAAP financial measures, such as net revenue, gross profit margins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presented here because we believe they are useful to investors in assessing the operating performance of our business without the effect of non-cash items, and other items as detailed below. The non-GAAP financial measures should not be considered in isolation or as alternatives to net income (loss), income (loss) from operations or any other measure of financial performance calculated and prescribed in accordance with U.S. GAAP. Our non-GAAP financial measures may not be comparable to similarly titled measures in other organizations because other organizations may not calculate non-GAAP financial measures in the same manner as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EBITDA and Adjusted EBITDA to net loss, the most directly comparable financial measure presented in accordance with U.S. GAAP.</w:t>
      </w:r>
    </w:p>
    <w:p>
      <w:pPr>
        <w:pStyle w:val="TextBody"/>
        <w:bidi w:val="0"/>
        <w:spacing w:before="0" w:after="0"/>
        <w:ind w:left="0" w:right="0" w:hanging="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4985"/>
        <w:gridCol w:w="60"/>
        <w:gridCol w:w="195"/>
        <w:gridCol w:w="1055"/>
        <w:gridCol w:w="132"/>
        <w:gridCol w:w="83"/>
        <w:gridCol w:w="195"/>
        <w:gridCol w:w="1055"/>
        <w:gridCol w:w="11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(74,778</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(55,253</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1,582</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1,466</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746</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568</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(1,443</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(2,005</w:t>
            </w:r>
          </w:p>
        </w:tc>
        <w:tc>
          <w:tcPr>
            <w:tcW w:w="11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2,957</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2,420</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50</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351</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(70,886</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(52,453</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1,695</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1,739</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2,357</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265</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Change in fair value of convertible promissory notes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7,563</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Change in fair value of long-term debt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1,554</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Loss on exchange of warrant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3,320</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Loss on issuance of financial instruments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585</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Loss on extinguishment of long-term debt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2,157</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Transaction costs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3,673</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(47,982</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(50,449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and negative cash flows, primarily from the production of our proprietary Merlin Pilot technology. Certain contracts have become loss-making due to variable consideration constraints and contract costs exceeding the contract price. Concurrently, our general and administrative expenses have risen due to business growth, increased headcount, expanded corporate functions, higher proposal activity, and increased fees for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fund our operations and meet our obligations depends on achieving anticipated revenue and cash flow levels, managing costs, and successfully managing working capital. Our ability to generate cash is also subject to economic, financial, competitive, legislative, regulatory, and other factors beyond our control. We cannot guarantee that our business will generate sufficient cash flow to meet our liquidity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these capital requirements, we expect to rely on our current borrowing capacity and access to debt and equity markets. However, our ability to obtain additional funding is subject to market conditions, our operating performance, market perception of our growth, and compliance with financial covenants under our existing debt agreements. Our capital needs may also vary materially from current plans if, for example, revenues do not meet expectations, or we incur unforeseen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our current and future liquidity sources prove insufficient, we may need to seek additional equity or debt financing, which could involve shareholder dilution or restrictive operational covenants. There can be no assurance that we will be able to raise additional capital. An inability to do so would adversely affect our ability to achieve our business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31"/>
        <w:gridCol w:w="60"/>
        <w:gridCol w:w="193"/>
        <w:gridCol w:w="1045"/>
        <w:gridCol w:w="130"/>
        <w:gridCol w:w="82"/>
        <w:gridCol w:w="193"/>
        <w:gridCol w:w="1045"/>
        <w:gridCol w:w="95"/>
        <w:gridCol w:w="60"/>
        <w:gridCol w:w="140"/>
        <w:gridCol w:w="755"/>
        <w:gridCol w:w="95"/>
        <w:gridCol w:w="60"/>
        <w:gridCol w:w="129"/>
        <w:gridCol w:w="986"/>
        <w:gridCol w:w="306"/>
      </w:tblGrid>
      <w:tr>
        <w:trPr/>
        <w:tc>
          <w:tcPr>
            <w:tcW w:w="48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6"/>
            <w:tcBorders/>
            <w:vAlign w:val="center"/>
          </w:tcPr>
          <w:p>
            <w:pPr>
              <w:pStyle w:val="TableContents"/>
              <w:bidi w:val="0"/>
              <w:spacing w:before="0" w:after="283"/>
              <w:jc w:val="center"/>
              <w:rPr/>
            </w:pPr>
            <w:r>
              <w:rPr/>
              <w:t> </w:t>
            </w:r>
          </w:p>
        </w:tc>
        <w:tc>
          <w:tcPr>
            <w:tcW w:w="30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Net cash (used in) provided by:</w:t>
            </w:r>
          </w:p>
        </w:tc>
        <w:tc>
          <w:tcPr>
            <w:tcW w:w="60" w:type="dxa"/>
            <w:tcBorders/>
            <w:vAlign w:val="center"/>
          </w:tcPr>
          <w:p>
            <w:pPr>
              <w:pStyle w:val="TableContents"/>
              <w:bidi w:val="0"/>
              <w:spacing w:before="0" w:after="283"/>
              <w:jc w:val="left"/>
              <w:rPr/>
            </w:pPr>
            <w:r>
              <w:rPr/>
              <w:t> </w:t>
            </w:r>
          </w:p>
        </w:tc>
        <w:tc>
          <w:tcPr>
            <w:tcW w:w="1238" w:type="dxa"/>
            <w:gridSpan w:val="2"/>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3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r>
      <w:tr>
        <w:trPr/>
        <w:tc>
          <w:tcPr>
            <w:tcW w:w="4831"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045" w:type="dxa"/>
            <w:tcBorders/>
            <w:shd w:fill="CCEEFF" w:val="clear"/>
            <w:vAlign w:val="center"/>
          </w:tcPr>
          <w:p>
            <w:pPr>
              <w:pStyle w:val="TableContents"/>
              <w:bidi w:val="0"/>
              <w:spacing w:before="0" w:after="283"/>
              <w:jc w:val="right"/>
              <w:rPr/>
            </w:pPr>
            <w:r>
              <w:rPr/>
              <w:t>(59,868</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045" w:type="dxa"/>
            <w:tcBorders/>
            <w:shd w:fill="CCEEFF" w:val="clear"/>
            <w:vAlign w:val="center"/>
          </w:tcPr>
          <w:p>
            <w:pPr>
              <w:pStyle w:val="TableContents"/>
              <w:bidi w:val="0"/>
              <w:spacing w:before="0" w:after="283"/>
              <w:jc w:val="right"/>
              <w:rPr/>
            </w:pPr>
            <w:r>
              <w:rPr/>
              <w:t>(45,466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(14,402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32</w:t>
            </w:r>
          </w:p>
        </w:tc>
        <w:tc>
          <w:tcPr>
            <w:tcW w:w="306" w:type="dxa"/>
            <w:tcBorders/>
            <w:shd w:fill="CCEEFF" w:val="clear"/>
            <w:vAlign w:val="center"/>
          </w:tcPr>
          <w:p>
            <w:pPr>
              <w:pStyle w:val="TableContents"/>
              <w:bidi w:val="0"/>
              <w:spacing w:before="0" w:after="283"/>
              <w:jc w:val="left"/>
              <w:rPr/>
            </w:pPr>
            <w:r>
              <w:rPr/>
              <w:t>%</w:t>
            </w:r>
          </w:p>
        </w:tc>
      </w:tr>
      <w:tr>
        <w:trPr/>
        <w:tc>
          <w:tcPr>
            <w:tcW w:w="4831"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(368</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(1,764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(79</w:t>
            </w:r>
          </w:p>
        </w:tc>
        <w:tc>
          <w:tcPr>
            <w:tcW w:w="306" w:type="dxa"/>
            <w:tcBorders/>
            <w:shd w:fill="FFFFFF" w:val="clear"/>
            <w:vAlign w:val="center"/>
          </w:tcPr>
          <w:p>
            <w:pPr>
              <w:pStyle w:val="TableContents"/>
              <w:bidi w:val="0"/>
              <w:spacing w:before="0" w:after="283"/>
              <w:jc w:val="left"/>
              <w:rPr/>
            </w:pPr>
            <w:r>
              <w:rPr/>
              <w:t>)%</w:t>
            </w:r>
          </w:p>
        </w:tc>
      </w:tr>
      <w:tr>
        <w:trPr/>
        <w:tc>
          <w:tcPr>
            <w:tcW w:w="4831"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bidi w:val="0"/>
              <w:spacing w:before="0" w:after="283"/>
              <w:jc w:val="right"/>
              <w:rPr/>
            </w:pPr>
            <w:r>
              <w:rPr/>
              <w:t>82,384</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bidi w:val="0"/>
              <w:spacing w:before="0" w:after="283"/>
              <w:jc w:val="right"/>
              <w:rPr/>
            </w:pPr>
            <w:r>
              <w:rPr/>
              <w:t>33,940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48,444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143</w:t>
            </w:r>
          </w:p>
        </w:tc>
        <w:tc>
          <w:tcPr>
            <w:tcW w:w="306" w:type="dxa"/>
            <w:tcBorders/>
            <w:shd w:fill="CCEEFF" w:val="clear"/>
            <w:vAlign w:val="center"/>
          </w:tcPr>
          <w:p>
            <w:pPr>
              <w:pStyle w:val="TableContents"/>
              <w:bidi w:val="0"/>
              <w:spacing w:before="0" w:after="283"/>
              <w:jc w:val="left"/>
              <w:rPr/>
            </w:pPr>
            <w:r>
              <w:rPr/>
              <w:t>%</w:t>
            </w:r>
          </w:p>
        </w:tc>
      </w:tr>
      <w:tr>
        <w:trPr/>
        <w:tc>
          <w:tcPr>
            <w:tcW w:w="4831"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45" w:type="dxa"/>
            <w:tcBorders>
              <w:bottom w:val="single" w:sz="12" w:space="0" w:color="000000"/>
            </w:tcBorders>
            <w:shd w:fill="FFFFFF" w:val="clear"/>
            <w:tcMar>
              <w:bottom w:w="28" w:type="dxa"/>
            </w:tcMar>
            <w:vAlign w:val="center"/>
          </w:tcPr>
          <w:p>
            <w:pPr>
              <w:pStyle w:val="TableContents"/>
              <w:bidi w:val="0"/>
              <w:spacing w:before="0" w:after="283"/>
              <w:jc w:val="right"/>
              <w:rPr/>
            </w:pPr>
            <w:r>
              <w:rPr/>
              <w:t>22,148</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45" w:type="dxa"/>
            <w:tcBorders>
              <w:bottom w:val="single" w:sz="12" w:space="0" w:color="000000"/>
            </w:tcBorders>
            <w:shd w:fill="FFFFFF" w:val="clear"/>
            <w:tcMar>
              <w:bottom w:w="28" w:type="dxa"/>
            </w:tcMar>
            <w:vAlign w:val="center"/>
          </w:tcPr>
          <w:p>
            <w:pPr>
              <w:pStyle w:val="TableContents"/>
              <w:bidi w:val="0"/>
              <w:spacing w:before="0" w:after="283"/>
              <w:jc w:val="right"/>
              <w:rPr/>
            </w:pPr>
            <w:r>
              <w:rPr/>
              <w:t>(13,290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35,438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pPr>
            <w:r>
              <w:rPr/>
              <w:t>(267</w:t>
            </w:r>
          </w:p>
        </w:tc>
        <w:tc>
          <w:tcPr>
            <w:tcW w:w="306"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cash used in operating activities for the year ended December 31, 2025, was </w:t>
      </w:r>
      <w:r>
        <w:rPr>
          <w:rFonts w:ascii="Times New Roman;Times;Serif" w:hAnsi="Times New Roman;Times;Serif"/>
          <w:b w:val="false"/>
          <w:i w:val="false"/>
          <w:caps w:val="false"/>
          <w:smallCaps w:val="false"/>
          <w:sz w:val="20"/>
          <w:shd w:fill="FFFFFF" w:val="clear"/>
        </w:rPr>
        <w:t>$59,868 thousand</w:t>
      </w:r>
      <w:r>
        <w:rPr>
          <w:rFonts w:ascii="Times New Roman;Times;Serif" w:hAnsi="Times New Roman;Times;Serif"/>
          <w:b w:val="false"/>
          <w:i w:val="false"/>
          <w:caps w:val="false"/>
          <w:smallCaps w:val="false"/>
          <w:sz w:val="20"/>
        </w:rPr>
        <w:t>, an increase of $14,402 thousand from net cash used in operating activities of $45,466 thousand for the year ended December 31, 2024. The change in cash used in operations was primarily due to an increase in net loss of $19,525 thousand, a decrease in the contract loss provision accrual of $4,896 thousand, a change in prepaid expenses and other current assets of $2,757 thousand, a change in capitalized transaction costs of $7,562 thousand, a change in deposits of $1,549 thousand, and an increase in contract loss provision amortization of $1,263 thousand. These changes are offset by an increase in change in fair value of warrant liabilities of $2,092 thousand, an increase in change in fair value of convertible promissory notes of $7,563 thousand, an increase in loss on exchange of warrant liabilities of $3,320 thousand, an increase in loss on extinguishment of long-term debt of $2,157 thousand, and changes in accounts payable and accrued expenses of $1,961 thousand and $4,397 thousand,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cash used in investing activities for the year ended December 31, 2025, was </w:t>
      </w:r>
      <w:r>
        <w:rPr>
          <w:rFonts w:ascii="Times New Roman;Times;Serif" w:hAnsi="Times New Roman;Times;Serif"/>
          <w:b w:val="false"/>
          <w:i w:val="false"/>
          <w:caps w:val="false"/>
          <w:smallCaps w:val="false"/>
          <w:sz w:val="20"/>
          <w:shd w:fill="FFFFFF" w:val="clear"/>
        </w:rPr>
        <w:t>$368 thousand</w:t>
      </w:r>
      <w:r>
        <w:rPr>
          <w:rFonts w:ascii="Times New Roman;Times;Serif" w:hAnsi="Times New Roman;Times;Serif"/>
          <w:b w:val="false"/>
          <w:i w:val="false"/>
          <w:caps w:val="false"/>
          <w:smallCaps w:val="false"/>
          <w:sz w:val="20"/>
        </w:rPr>
        <w:t xml:space="preserve">, a decrease of </w:t>
      </w:r>
      <w:r>
        <w:rPr>
          <w:rFonts w:ascii="Times New Roman;Times;Serif" w:hAnsi="Times New Roman;Times;Serif"/>
          <w:b w:val="false"/>
          <w:i w:val="false"/>
          <w:caps w:val="false"/>
          <w:smallCaps w:val="false"/>
          <w:sz w:val="20"/>
          <w:shd w:fill="FFFFFF" w:val="clear"/>
        </w:rPr>
        <w:t>$1,396 thousand</w:t>
      </w:r>
      <w:r>
        <w:rPr>
          <w:rFonts w:ascii="Times New Roman;Times;Serif" w:hAnsi="Times New Roman;Times;Serif"/>
          <w:b w:val="false"/>
          <w:i w:val="false"/>
          <w:caps w:val="false"/>
          <w:smallCaps w:val="false"/>
          <w:sz w:val="20"/>
        </w:rPr>
        <w:t xml:space="preserve"> from net cash used in investing activities of </w:t>
      </w:r>
      <w:r>
        <w:rPr>
          <w:rFonts w:ascii="Times New Roman;Times;Serif" w:hAnsi="Times New Roman;Times;Serif"/>
          <w:b w:val="false"/>
          <w:i w:val="false"/>
          <w:caps w:val="false"/>
          <w:smallCaps w:val="false"/>
          <w:sz w:val="20"/>
          <w:shd w:fill="FFFFFF" w:val="clear"/>
        </w:rPr>
        <w:t>$1,764 thousand</w:t>
      </w:r>
      <w:r>
        <w:rPr>
          <w:rFonts w:ascii="Times New Roman;Times;Serif" w:hAnsi="Times New Roman;Times;Serif"/>
          <w:b w:val="false"/>
          <w:i w:val="false"/>
          <w:caps w:val="false"/>
          <w:smallCaps w:val="false"/>
          <w:sz w:val="20"/>
        </w:rPr>
        <w:t xml:space="preserve"> for the year ended December 31, 2024. The change in cash used in investing activities was primarily due to a decrease in acquired property and equipment of $1,477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cash provided by financing activities for the year ended December 31, 2025, was </w:t>
      </w:r>
      <w:r>
        <w:rPr>
          <w:rFonts w:ascii="Times New Roman;Times;Serif" w:hAnsi="Times New Roman;Times;Serif"/>
          <w:b w:val="false"/>
          <w:i w:val="false"/>
          <w:caps w:val="false"/>
          <w:smallCaps w:val="false"/>
          <w:sz w:val="20"/>
          <w:shd w:fill="FFFFFF" w:val="clear"/>
        </w:rPr>
        <w:t>$82,384 thousand</w:t>
      </w:r>
      <w:r>
        <w:rPr>
          <w:rFonts w:ascii="Times New Roman;Times;Serif" w:hAnsi="Times New Roman;Times;Serif"/>
          <w:b w:val="false"/>
          <w:i w:val="false"/>
          <w:caps w:val="false"/>
          <w:smallCaps w:val="false"/>
          <w:sz w:val="20"/>
        </w:rPr>
        <w:t xml:space="preserve">, an increase of </w:t>
      </w:r>
      <w:r>
        <w:rPr>
          <w:rFonts w:ascii="Times New Roman;Times;Serif" w:hAnsi="Times New Roman;Times;Serif"/>
          <w:b w:val="false"/>
          <w:i w:val="false"/>
          <w:caps w:val="false"/>
          <w:smallCaps w:val="false"/>
          <w:sz w:val="20"/>
          <w:shd w:fill="FFFFFF" w:val="clear"/>
        </w:rPr>
        <w:t>$48,444 thousand</w:t>
      </w:r>
      <w:r>
        <w:rPr>
          <w:rFonts w:ascii="Times New Roman;Times;Serif" w:hAnsi="Times New Roman;Times;Serif"/>
          <w:b w:val="false"/>
          <w:i w:val="false"/>
          <w:caps w:val="false"/>
          <w:smallCaps w:val="false"/>
          <w:sz w:val="20"/>
        </w:rPr>
        <w:t xml:space="preserve"> from net cash used in financing activities of </w:t>
      </w:r>
      <w:r>
        <w:rPr>
          <w:rFonts w:ascii="Times New Roman;Times;Serif" w:hAnsi="Times New Roman;Times;Serif"/>
          <w:b w:val="false"/>
          <w:i w:val="false"/>
          <w:caps w:val="false"/>
          <w:smallCaps w:val="false"/>
          <w:sz w:val="20"/>
          <w:shd w:fill="FFFFFF" w:val="clear"/>
        </w:rPr>
        <w:t>$33,940 thousand</w:t>
      </w:r>
      <w:r>
        <w:rPr>
          <w:rFonts w:ascii="Times New Roman;Times;Serif" w:hAnsi="Times New Roman;Times;Serif"/>
          <w:b w:val="false"/>
          <w:i w:val="false"/>
          <w:caps w:val="false"/>
          <w:smallCaps w:val="false"/>
          <w:sz w:val="20"/>
        </w:rPr>
        <w:t xml:space="preserve"> for the year ended December 31, 2024. The change in cash flows provided by financing activities was primarily due to an increase in proceeds from issuance of warrants and convertible promissory notes related to the Pre-PIPE Bridge and the Pre-Funded PIPE of $66,796 thousand and $20,413 thousand, respectively, offset by an a decrease of proceeds from issuance of long-term debt of $34,378 thousand and an increase in repayments of long-term debt of $4,712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debt obligations are comprised of our 7.47% Convertible Loan due in 2032 (the “PGF Loan”) with a principal amount outstanding of $672 thousand, our Term Loans (LSA 2024) due in 2027 with a principal amount outstanding of $29,788 thousand, our Pre-PIPE Bridge Notes due in 2026 with a principal amount outstanding of $28,695 thousand, and our Pre-Funded PIPE Notes due in 2026 with a principal amount outstanding of $75,599 thousand. As of December 31, 2025, we paid off the principal amount outstanding of our Term Loan (LSA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our debt obligations are comprised of our PGF Loan with a principal amount of $660 thousand due in 2032, $500 thousand principal amount outstanding under our Term Loan (LSA 2021) that matures in July 2025, and $35,000 thousand principal amount outstanding under our Term Loan (LSA 2024) that was set to mature in January 2027. During the year ended December 31, 2024, we repaid $1,143 thousand in principal amount of our Term Loan (LSA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our non-cancelable operating lease commitments are $979 thousand and $1,348 thousand, respectively, of which $657 thousand and $709 thousand, respectively, are due in less than one year. Our operating leases relate to our office space, aircraft, motor vehicles, and airport hangar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consolidated financial statements, which have been prepared in accordance with U.S. GAAP. In preparing the consolidated financial statements, we make estimates and judgments that affect the reported amounts in the consolidated financial statements and related footnote disclosures. Our estimates are based on historical experience and on various other assumptions that we believe to be reasonable under the circumstances. We re-evaluate our estimates on an on-going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estimates we use in the preparation of our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from our contracts in accordance with Financial Accounting Standards Board (“FASB”) Accounting Standards Codification (“ASC”) 606, “Revenue from Contracts with Customers” (“ASC 606”). The majority of our revenue is generated from cost-plus-fixed-fee, fixed-price, and cost-share arrangements for designing and integrating autonomous flight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over time based on the extent of progress towards completion. This process requires significant judgment around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Measuring Progress: We use a cost-incurred input method to measure progress. This method relies on our ability to reliably estimate the total costs required to complete our long-term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estimates are critical in determining the amount and timing of revenue recognized and are monitored and updated as our projects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if not whether the warrants meet all of the requirements for equity classification under ASC 815.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are measured to fair value at each balance sheet date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Valuations of instruments convertible to our Common Stock and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preferred stock are classified as temporary equity, as they include liquidation provisions that are outside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our common stock was determined by our board of directors, after considering contemporaneous third-party valuations and input from management. In the absence of a public trading market, our board of directors, with input from management, exercised significant judgment and considered various objective and subjective factors to determine the fair value of our equity including the following factors:</w:t>
      </w:r>
    </w:p>
    <w:p>
      <w:pPr>
        <w:pStyle w:val="TextBody"/>
        <w:bidi w:val="0"/>
        <w:spacing w:before="0" w:after="0"/>
        <w:ind w:left="720" w:right="0" w:hanging="0"/>
        <w:jc w:val="both"/>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Probability of an IPO scenario (including de-SPAC transaction);</w:t>
            </w:r>
          </w:p>
        </w:tc>
      </w:tr>
    </w:tbl>
    <w:p>
      <w:pPr>
        <w:pStyle w:val="TextBody"/>
        <w:bidi w:val="0"/>
        <w:spacing w:before="0" w:after="0"/>
        <w:ind w:left="720" w:right="0" w:hanging="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17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Probability of other liquidation events;</w:t>
            </w:r>
          </w:p>
        </w:tc>
      </w:tr>
    </w:tbl>
    <w:p>
      <w:pPr>
        <w:pStyle w:val="TextBody"/>
        <w:bidi w:val="0"/>
        <w:spacing w:before="0" w:after="0"/>
        <w:ind w:left="720" w:right="0" w:hanging="0"/>
        <w:jc w:val="both"/>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time to liquidation; and</w:t>
            </w:r>
          </w:p>
        </w:tc>
      </w:tr>
    </w:tbl>
    <w:p>
      <w:pPr>
        <w:pStyle w:val="TextBody"/>
        <w:bidi w:val="0"/>
        <w:spacing w:before="0" w:after="0"/>
        <w:ind w:left="720" w:right="0" w:hanging="0"/>
        <w:jc w:val="both"/>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return on equity.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resulting equity value was then allocated to each share class based on differences in liquidation preferences of the various share classes using an Option Pricing Model (“OPM”) through the use of a series of call options and a Monte Carlo simulation. The OPM is appropriate to use when the range of possible future outcomes is difficult to predict. For the IPO scenario (including de-SPAC transaction) we utilized a probability-weighted expected return method (“PWERM”) to allocate value among the various share classes. The PWERM involves the estimation of the value of our company under multiple future potential outcomes and estimates the probability of each potential outcome. After the value of each applicable class of shares was determined, a discount for lack of marketability (“DLOM”) was applied to arrive at the fair value of the ordinary shares on a non-marketable basis. A DLOM is applied in order to reflect the lack of a recognized market for a closely held interest and the fact that a non-controlling equity interest may not be readily transferable. A market participant purchasing this share would recognize this illiquidity associated with the shares, which would reduce the overall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periods prior to December 31, 2024, the fair value of the warrants for the purchase of preferred stock was calculated using the OPM as part of the allocation of the equity value to the various share classes (as described above). The critical accounting estimates for the valuation of those warrants include (a) the fair value of the underlying preferred stock, as mentioned above (b) expected financing amount, (c) expected financing date, (d) expected liquidity event, (e) risk-free rate and (f) volatility — based on peer companies’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periods after December 31, 2024 and in light of a potential de-SPAC transaction, the fair values of the warrants for the purchase of preferred and common stock were determined using PWERM, which considers both a Non-SPAC and a SPAC scenario and probabilities. The critical accounting estimates for the valuation of those warrants include (a) the fair value of the underlying preferred or common stock, as applicable, (b) the expected financing amount, (c) expected financing date, (d) expected liquidity event date, (e) equity volatility, (f) expected SPAC date, (g) a calibrated discount rate, and (h) risk-free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convertible notes was calculated using PWERM, which considers both a Non-SPAC and a SPAC scenario and probabilities. The fair value of the notes was estimated using Discounted Cash Flow (“DCF”).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stock-based compensation expense by estimating the fair value of stock options on the grant date using the Black-Scholes option-pricing model. The grant-date fair value is recognized on a straight-line basis over the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model requires subjective assumptions, which involve significant judgment. Our key assumptions 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Common Stock: As our stock is not publicly traded, the fair value is determined by our board of directors, considering factors such as contemporaneous third-party valuations, company performance, and industry outlook.</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 Derived from the historical volatility of comparable public companies, as our shares have no trading history.</w:t>
            </w:r>
          </w:p>
        </w:tc>
      </w:tr>
    </w:tbl>
    <w:p>
      <w:pPr>
        <w:pStyle w:val="TextBody"/>
        <w:bidi w:val="0"/>
        <w:spacing w:before="0" w:after="283"/>
        <w:jc w:val="left"/>
        <w:rPr/>
      </w:pPr>
      <w:r>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Calculated using the simplified method.</w:t>
            </w:r>
          </w:p>
        </w:tc>
      </w:tr>
    </w:tbl>
    <w:p>
      <w:pPr>
        <w:pStyle w:val="TextBody"/>
        <w:bidi w:val="0"/>
        <w:spacing w:before="0" w:after="283"/>
        <w:jc w:val="left"/>
        <w:rPr/>
      </w:pPr>
      <w:r>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 Based on the U.S. Treasury yield curve.</w:t>
            </w:r>
          </w:p>
        </w:tc>
      </w:tr>
    </w:tbl>
    <w:p>
      <w:pPr>
        <w:pStyle w:val="TextBody"/>
        <w:bidi w:val="0"/>
        <w:spacing w:before="0" w:after="283"/>
        <w:jc w:val="left"/>
        <w:rPr/>
      </w:pPr>
      <w:r>
        <w:rPr/>
        <w:t> </w:t>
      </w:r>
    </w:p>
    <w:tbl>
      <w:tblPr>
        <w:tblW w:w="6648" w:type="dxa"/>
        <w:jc w:val="left"/>
        <w:tblInd w:w="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Assumed to be zero, as we have no plans to pay 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these assumptions are subjective, particularly the fair value of our common stock, our stock-based compensation expense could be materially different if we used different assumptions.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Status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Merlin elected not to opt out of such extended transition period which means that when a standard is issued or revised and it has different application dates for public or private companies, Merlin, as an emerging growth company, can adopt the new or revised standard at the time private companies adopt the new or revised standard, until such time Merlin is no longer considered to be an emerging growth company. At times, Merlin may elect to early adopt a new or revised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Merlin intends to rely on the other exemptions and reduced reporting requirements provided by the JOBS Act. Subject to certain conditions set forth in the JOBS Act, if, as an emerging growth company, Merlin intends to rely on such exemptions, Merlin is not required to, among other things: (a) provide an auditor’s attestation report on Merlin’s system of internal control over financial reporting pursuant to Section 404(b) of the Sarbanes-Oxley Act; (b) provide all of the compensation disclosures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Merlin will remain an emerging growth company under the JOBS Act until the earliest of (a) the last day of Merlin’s first fiscal year following the fifth anniversary of the offering, (b) the last date of Merlin’s fiscal year in which Merlin has total annual gross revenue of at least $1.235 billion, (c) the date on which Merlin is deemed to be a “large accelerated filer” under the rules of the SEC with at least $700.0 million of outstanding securities held by non-affiliates or (d) the date on which Merlin has issued more than $1.0 billion in non-convertible debt securities during the previous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2, </w:t>
      </w:r>
      <w:r>
        <w:rPr>
          <w:rFonts w:ascii="Times New Roman;Times;Serif" w:hAnsi="Times New Roman;Times;Serif"/>
          <w:b w:val="false"/>
          <w:i/>
          <w:caps w:val="false"/>
          <w:smallCaps w:val="false"/>
          <w:sz w:val="20"/>
        </w:rPr>
        <w:t>Summary of Significant Accounting Policies</w:t>
      </w:r>
      <w:r>
        <w:rPr>
          <w:rFonts w:ascii="Times New Roman;Times;Serif" w:hAnsi="Times New Roman;Times;Serif"/>
          <w:b w:val="false"/>
          <w:i w:val="false"/>
          <w:caps w:val="false"/>
          <w:smallCaps w:val="false"/>
          <w:sz w:val="20"/>
        </w:rPr>
        <w:t xml:space="preserve"> of the notes to our consolidated financial statements in the sections titled “Recently Adopted Accounting Pronouncements” and “Recently Issued Accounting Pronouncements Not Yet Adopted” included elsewhere in this prospectus - for a discussion about new accounting pronouncements adopted and not yet adopted as of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4" w:name="ea028257401ex99-3.htm"/>
      <w:bookmarkStart w:id="85" w:name="ksea028257401ex993"/>
      <w:bookmarkEnd w:id="84"/>
      <w:bookmarkEnd w:id="85"/>
      <w:r>
        <w:rPr>
          <w:rFonts w:ascii="Times New Roman;Times;Serif" w:hAnsi="Times New Roman;Times;Serif"/>
          <w:b/>
          <w:i w:val="false"/>
          <w:caps w:val="false"/>
          <w:smallCaps w:val="false"/>
          <w:sz w:val="20"/>
        </w:rPr>
        <w:t>Exhibit 99.3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unaudited pro forma condensed combined balance sheet as of December 31, 2025 and the unaudited pro forma condensed combined statement of operations for the year ended December 31, 2025 present the combined financial information of Inflection Point and Merlin after giving effect to the Business Combination and related adjustments described in the accompanying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Inflection Point was incorporated on June 24, 2024 in the Cayman Islands and is a publicly traded special purpose acquisition company listed on the Nasdaq under the symbols “BACQU,” “BACQ,” and “BACQR.” Inflection Point was incorporated for the purpose of effecting a merger, amalgamation, share exchange, asset acquisition, share purchase, reorganization or similar business combination with one or more businesses. The Sponsor is Inflection Point Acquisition Corp. IV (f/k/a Bleichroeder Sponsor I LLC). Prior to the closing of the Business Combination, Inflection Point will domesticate as a Delaware corporation and be renamed “Merlin, Inc.”, pursuant to the terms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Merlin was incorporated on October 10, 2018 as a Delaware corporation under the name Apollo Flight Research, Inc. and changed its name to Merlin Labs, Inc. on October 27, 2020. Merlin Labs, Inc. is the parent company of two wholly-owned subsidiaries: Merlin Labs NZ Limited (“</w:t>
      </w:r>
      <w:r>
        <w:rPr>
          <w:rFonts w:ascii="Times New Roman;Times;Serif" w:hAnsi="Times New Roman;Times;Serif"/>
          <w:b/>
          <w:i w:val="false"/>
          <w:caps w:val="false"/>
          <w:smallCaps w:val="false"/>
          <w:sz w:val="20"/>
        </w:rPr>
        <w:t>MLNL</w:t>
      </w:r>
      <w:r>
        <w:rPr>
          <w:rFonts w:ascii="Times New Roman;Times;Serif" w:hAnsi="Times New Roman;Times;Serif"/>
          <w:b w:val="false"/>
          <w:i w:val="false"/>
          <w:caps w:val="false"/>
          <w:smallCaps w:val="false"/>
          <w:sz w:val="20"/>
        </w:rPr>
        <w:t>”), a New Zealand limited company, was incorporated on August 17, 2020 and Merlin Labs Securities Corporation (“</w:t>
      </w:r>
      <w:r>
        <w:rPr>
          <w:rFonts w:ascii="Times New Roman;Times;Serif" w:hAnsi="Times New Roman;Times;Serif"/>
          <w:b/>
          <w:i w:val="false"/>
          <w:caps w:val="false"/>
          <w:smallCaps w:val="false"/>
          <w:sz w:val="20"/>
        </w:rPr>
        <w:t>MLSC</w:t>
      </w:r>
      <w:r>
        <w:rPr>
          <w:rFonts w:ascii="Times New Roman;Times;Serif" w:hAnsi="Times New Roman;Times;Serif"/>
          <w:b w:val="false"/>
          <w:i w:val="false"/>
          <w:caps w:val="false"/>
          <w:smallCaps w:val="false"/>
          <w:sz w:val="20"/>
        </w:rPr>
        <w:t>”), a Massachusetts Securities Corporation, was incorporated on December 13, 2022 (MLNL, MLSC and Merlin Labs Inc., collectively, “</w:t>
      </w:r>
      <w:r>
        <w:rPr>
          <w:rFonts w:ascii="Times New Roman;Times;Serif" w:hAnsi="Times New Roman;Times;Serif"/>
          <w:b/>
          <w:i/>
          <w:caps w:val="false"/>
          <w:smallCaps w:val="false"/>
          <w:sz w:val="20"/>
        </w:rPr>
        <w:t>Merlin</w:t>
      </w:r>
      <w:r>
        <w:rPr>
          <w:rFonts w:ascii="Times New Roman;Times;Serif" w:hAnsi="Times New Roman;Times;Serif"/>
          <w:b w:val="false"/>
          <w:i w:val="false"/>
          <w:caps w:val="false"/>
          <w:smallCaps w:val="false"/>
          <w:sz w:val="20"/>
        </w:rPr>
        <w:t>” or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Article 11 of Regulation S-X. The unaudited pro forma condensed combined balance sheet as of December 31, 2025 combines the historical audited condensed balance sheet of Inflection Point as of December 31, 2025 with the historical audited condensed consolidated balance sheet of Merlin as of December 31, 2025, giving effect to the Business Combination and related transactions as if they had been consummated on December 31, 2025. Inflection Point and Merlin have not had any historical relationship prior to the Business Combination. Accordingly, no pro forma adjustments were required to eliminate activities between the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combines the historical audited condensed statement of operations of Inflection Point for the year ended December 31, 2025 with the historical audited condensed consolidated statement of operations of Merlin for the year ended December 31, 2025, giving effect to the Business Combination as if it had been consummated on January 1, 2025,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based on and should be read in conjunction with the audited historical financial statements of each of Merlin and Inflection Point and the related notes thereto as of and for the year ended December 31, 2025, and the sections entitled “</w:t>
      </w:r>
      <w:r>
        <w:rPr>
          <w:rFonts w:ascii="Times New Roman;Times;Serif" w:hAnsi="Times New Roman;Times;Serif"/>
          <w:b w:val="false"/>
          <w:i/>
          <w:caps w:val="false"/>
          <w:smallCaps w:val="false"/>
          <w:sz w:val="20"/>
        </w:rPr>
        <w:t>Management’s Discussion and Analysis of Financial Condition and Results of Operations of Inflection Point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Management’s Discussion and Analysis of Financial Condition and Results of Operations of Merlin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13, 2025, Inflection Point and Merlin entered into the Business Combination Agreement, pursuant to which the following occurred: (i) at least one day prior to the closing of the Business Combination, Inflection Point domesticated as a Delaware corporation, and (ii) on the day of the Closing, Merger Sub merged with and into Merlin, with Merlin surviving the Merger as a wholly owned subsidiary of Inflection Point, resulting in a combined company whereby Merlin is a wholly-owned subsidiary of New Merlin. On March 13, 2026, the Merger was approved by an Inflection Point shareholder vote. The Merger was completed on March 16, 2026 (the “Closing”). </w:t>
      </w:r>
      <w:r>
        <w:rPr>
          <w:rFonts w:ascii="Times New Roman;Times;Serif" w:hAnsi="Times New Roman;Times;Serif"/>
          <w:b w:val="false"/>
          <w:i w:val="false"/>
          <w:caps w:val="false"/>
          <w:smallCaps w:val="false"/>
          <w:sz w:val="20"/>
          <w:shd w:fill="FFFFFF" w:val="clear"/>
        </w:rPr>
        <w:t>Fo</w:t>
      </w:r>
      <w:r>
        <w:rPr>
          <w:rFonts w:ascii="Times New Roman;Times;Serif" w:hAnsi="Times New Roman;Times;Serif"/>
          <w:b w:val="false"/>
          <w:i w:val="false"/>
          <w:caps w:val="false"/>
          <w:smallCaps w:val="false"/>
          <w:sz w:val="20"/>
        </w:rPr>
        <w:t>llowing the Closing, New Merlin is the publicly traded parent company, and its common stock is listed on Nasdaq under the ticker symbol “MRLN.” The consideration payable to Merlin’s equity holders consists entirely of shares of New Merlin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have been presented for illustrative purposes only and do not necessarily reflect what New Merlin’s financial condition or results of operations would have been had the Business Combination occurred on the date indicated. Further, the unaudited pro forma condensed combined financial information may not be useful in predicting the future financial condition and results of operations of New Merlin. The actual financial position and results of operations may differ significantly from the pro forma amounts reflected herein due to a variety of factors. The unaudited pro forma adjustments represent estimates based on information available as of the date of these unaudited pro forma condensed combined financial statements and are subject to change as additional information becomes available and analyses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between Merlin and Inflection Point is expected to be accounted for as a reverse recapitalization, as Inflection Point does not meet the definition of a business under accounting principles U.S. generally accepted accounting principles. For financial reporting purposes, Merlin is identified as the accounting acquirer, and Inflection Point as the accounting acquiree. This determination is based on Merlin’s majority voting rights, control over board appointments, and dominance of senior management in the post-combination entity. Since Inflection Point lacks substantive inputs, processes, and outputs, the transaction does not qualify as a business combination under Accounting Standards Codification Topic 805, Business Combinations (“</w:t>
      </w:r>
      <w:r>
        <w:rPr>
          <w:rFonts w:ascii="Times New Roman;Times;Serif" w:hAnsi="Times New Roman;Times;Serif"/>
          <w:b/>
          <w:i w:val="false"/>
          <w:caps w:val="false"/>
          <w:smallCaps w:val="false"/>
          <w:sz w:val="20"/>
        </w:rPr>
        <w:t>ASC 805</w:t>
      </w:r>
      <w:r>
        <w:rPr>
          <w:rFonts w:ascii="Times New Roman;Times;Serif" w:hAnsi="Times New Roman;Times;Serif"/>
          <w:b w:val="false"/>
          <w:i w:val="false"/>
          <w:caps w:val="false"/>
          <w:smallCaps w:val="false"/>
          <w:sz w:val="20"/>
        </w:rPr>
        <w:t>”). For accounting purposes, the financial statements of New Merlin will represent a continuation of the financial statements of Merlin, with the Business Combination being treated as the equivalent of Merlin issuing stock for the net assets of Inflection Point, accompanied by recapitalization. The net assets of Inflection Point will be stated at historical carrying values, and no goodwill or other intangible assets will be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br/>
        <w:t>(in thousands, except share amounts)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745"/>
        <w:gridCol w:w="60"/>
        <w:gridCol w:w="145"/>
        <w:gridCol w:w="830"/>
        <w:gridCol w:w="95"/>
        <w:gridCol w:w="60"/>
        <w:gridCol w:w="157"/>
        <w:gridCol w:w="989"/>
        <w:gridCol w:w="95"/>
        <w:gridCol w:w="60"/>
        <w:gridCol w:w="256"/>
        <w:gridCol w:w="1603"/>
        <w:gridCol w:w="95"/>
        <w:gridCol w:w="140"/>
        <w:gridCol w:w="505"/>
        <w:gridCol w:w="60"/>
        <w:gridCol w:w="164"/>
        <w:gridCol w:w="1031"/>
        <w:gridCol w:w="115"/>
      </w:tblGrid>
      <w:tr>
        <w:trPr/>
        <w:tc>
          <w:tcPr>
            <w:tcW w:w="3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Inflection Point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Merlin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 Redemptions: Transaction Accounting Adjustments</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Combined</w:t>
            </w:r>
          </w:p>
        </w:tc>
        <w:tc>
          <w:tcPr>
            <w:tcW w:w="115" w:type="dxa"/>
            <w:tcBorders/>
            <w:vAlign w:val="center"/>
          </w:tcPr>
          <w:p>
            <w:pPr>
              <w:pStyle w:val="TableContents"/>
              <w:bidi w:val="0"/>
              <w:spacing w:before="0" w:after="283"/>
              <w:jc w:val="left"/>
              <w:rPr/>
            </w:pPr>
            <w:r>
              <w:rPr/>
              <w:t> </w:t>
            </w:r>
          </w:p>
        </w:tc>
      </w:tr>
      <w:tr>
        <w:trPr/>
        <w:tc>
          <w:tcPr>
            <w:tcW w:w="374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9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374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9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9" w:type="dxa"/>
            <w:tcBorders/>
            <w:shd w:fill="CCEEFF" w:val="clear"/>
            <w:vAlign w:val="center"/>
          </w:tcPr>
          <w:p>
            <w:pPr>
              <w:pStyle w:val="TableContents"/>
              <w:bidi w:val="0"/>
              <w:spacing w:before="0" w:after="283"/>
              <w:jc w:val="right"/>
              <w:rPr/>
            </w:pPr>
            <w:r>
              <w:rPr/>
              <w:t>59,343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603" w:type="dxa"/>
            <w:tcBorders/>
            <w:shd w:fill="CCEEFF" w:val="clear"/>
            <w:vAlign w:val="center"/>
          </w:tcPr>
          <w:p>
            <w:pPr>
              <w:pStyle w:val="TableContents"/>
              <w:bidi w:val="0"/>
              <w:spacing w:before="0" w:after="283"/>
              <w:jc w:val="right"/>
              <w:rPr/>
            </w:pPr>
            <w:r>
              <w:rPr/>
              <w:t>112,671</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b/>
              </w:rPr>
            </w:pPr>
            <w:r>
              <w:rPr>
                <w:b/>
              </w:rPr>
              <w:t>3</w:t>
            </w:r>
          </w:p>
        </w:tc>
        <w:tc>
          <w:tcPr>
            <w:tcW w:w="505" w:type="dxa"/>
            <w:tcBorders/>
            <w:shd w:fill="CCEEFF" w:val="clear"/>
            <w:vAlign w:val="center"/>
          </w:tcPr>
          <w:p>
            <w:pPr>
              <w:pStyle w:val="TableContents"/>
              <w:bidi w:val="0"/>
              <w:spacing w:before="0" w:after="283"/>
              <w:jc w:val="left"/>
              <w:rPr>
                <w:b/>
              </w:rPr>
            </w:pPr>
            <w:r>
              <w:rPr>
                <w:b/>
              </w:rPr>
              <w:t>(a)</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172,718</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330</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368</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3,328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3,538</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Capitalized transaction costs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pPr>
            <w:r>
              <w:rPr/>
              <w:t>7,562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03" w:type="dxa"/>
            <w:tcBorders>
              <w:bottom w:val="single" w:sz="12" w:space="0" w:color="000000"/>
            </w:tcBorders>
            <w:shd w:fill="CCEEFF" w:val="clear"/>
            <w:tcMar>
              <w:bottom w:w="28" w:type="dxa"/>
            </w:tcMar>
            <w:vAlign w:val="center"/>
          </w:tcPr>
          <w:p>
            <w:pPr>
              <w:pStyle w:val="TableContents"/>
              <w:bidi w:val="0"/>
              <w:spacing w:before="0" w:after="283"/>
              <w:jc w:val="right"/>
              <w:rPr/>
            </w:pPr>
            <w:r>
              <w:rPr/>
              <w:t>(7,562</w:t>
            </w:r>
          </w:p>
        </w:tc>
        <w:tc>
          <w:tcPr>
            <w:tcW w:w="95"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right"/>
              <w:rPr>
                <w:b/>
              </w:rPr>
            </w:pPr>
            <w:r>
              <w:rPr>
                <w:b/>
              </w:rPr>
              <w:t>3</w:t>
            </w:r>
          </w:p>
        </w:tc>
        <w:tc>
          <w:tcPr>
            <w:tcW w:w="505" w:type="dxa"/>
            <w:tcBorders/>
            <w:shd w:fill="CCEEFF" w:val="clear"/>
            <w:vAlign w:val="center"/>
          </w:tcPr>
          <w:p>
            <w:pPr>
              <w:pStyle w:val="TableContents"/>
              <w:bidi w:val="0"/>
              <w:spacing w:before="0" w:after="283"/>
              <w:jc w:val="left"/>
              <w:rPr>
                <w:b/>
              </w:rPr>
            </w:pPr>
            <w:r>
              <w:rPr>
                <w:b/>
              </w:rPr>
              <w:t>(b)(1)</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914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70,931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105,109</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176,954</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7,108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7,108</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979</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1,564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1,564</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pPr>
            <w:r>
              <w:rPr/>
              <w:t>Investments held in trust account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262,236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3" w:type="dxa"/>
            <w:tcBorders>
              <w:bottom w:val="single" w:sz="12" w:space="0" w:color="000000"/>
            </w:tcBorders>
            <w:shd w:fill="FFFFFF" w:val="clear"/>
            <w:tcMar>
              <w:bottom w:w="28" w:type="dxa"/>
            </w:tcMar>
            <w:vAlign w:val="center"/>
          </w:tcPr>
          <w:p>
            <w:pPr>
              <w:pStyle w:val="TableContents"/>
              <w:bidi w:val="0"/>
              <w:spacing w:before="0" w:after="283"/>
              <w:jc w:val="right"/>
              <w:rPr/>
            </w:pPr>
            <w:r>
              <w:rPr/>
              <w:t>(262,236</w:t>
            </w:r>
          </w:p>
        </w:tc>
        <w:tc>
          <w:tcPr>
            <w:tcW w:w="95" w:type="dxa"/>
            <w:tcBorders/>
            <w:shd w:fill="FFFFFF" w:val="clear"/>
            <w:vAlign w:val="center"/>
          </w:tcPr>
          <w:p>
            <w:pPr>
              <w:pStyle w:val="TableContents"/>
              <w:bidi w:val="0"/>
              <w:spacing w:before="0" w:after="283"/>
              <w:jc w:val="left"/>
              <w:rPr/>
            </w:pPr>
            <w:r>
              <w:rPr/>
              <w:t>)</w:t>
            </w:r>
          </w:p>
        </w:tc>
        <w:tc>
          <w:tcPr>
            <w:tcW w:w="140" w:type="dxa"/>
            <w:tcBorders/>
            <w:shd w:fill="FFFFFF" w:val="clear"/>
            <w:vAlign w:val="center"/>
          </w:tcPr>
          <w:p>
            <w:pPr>
              <w:pStyle w:val="TableContents"/>
              <w:bidi w:val="0"/>
              <w:spacing w:before="0" w:after="283"/>
              <w:jc w:val="right"/>
              <w:rPr>
                <w:b/>
              </w:rPr>
            </w:pPr>
            <w:r>
              <w:rPr>
                <w:b/>
              </w:rPr>
              <w:t>3</w:t>
            </w:r>
          </w:p>
        </w:tc>
        <w:tc>
          <w:tcPr>
            <w:tcW w:w="505" w:type="dxa"/>
            <w:tcBorders/>
            <w:shd w:fill="FFFFFF" w:val="clear"/>
            <w:vAlign w:val="center"/>
          </w:tcPr>
          <w:p>
            <w:pPr>
              <w:pStyle w:val="TableContents"/>
              <w:bidi w:val="0"/>
              <w:spacing w:before="0" w:after="283"/>
              <w:jc w:val="left"/>
              <w:rPr>
                <w:b/>
              </w:rPr>
            </w:pPr>
            <w:r>
              <w:rPr>
                <w:b/>
              </w:rPr>
              <w:t>(a)(1)</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263,150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9" w:type="dxa"/>
            <w:tcBorders>
              <w:bottom w:val="double" w:sz="10" w:space="0" w:color="000000"/>
            </w:tcBorders>
            <w:shd w:fill="CCEEFF" w:val="clear"/>
            <w:tcMar>
              <w:bottom w:w="28" w:type="dxa"/>
            </w:tcMar>
            <w:vAlign w:val="center"/>
          </w:tcPr>
          <w:p>
            <w:pPr>
              <w:pStyle w:val="TableContents"/>
              <w:bidi w:val="0"/>
              <w:spacing w:before="0" w:after="283"/>
              <w:jc w:val="right"/>
              <w:rPr/>
            </w:pPr>
            <w:r>
              <w:rPr/>
              <w:t>80,582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03" w:type="dxa"/>
            <w:tcBorders>
              <w:bottom w:val="double" w:sz="10" w:space="0" w:color="000000"/>
            </w:tcBorders>
            <w:shd w:fill="CCEEFF" w:val="clear"/>
            <w:tcMar>
              <w:bottom w:w="28" w:type="dxa"/>
            </w:tcMar>
            <w:vAlign w:val="center"/>
          </w:tcPr>
          <w:p>
            <w:pPr>
              <w:pStyle w:val="TableContents"/>
              <w:bidi w:val="0"/>
              <w:spacing w:before="0" w:after="283"/>
              <w:jc w:val="right"/>
              <w:rPr/>
            </w:pPr>
            <w:r>
              <w:rPr/>
              <w:t>(157,127</w:t>
            </w:r>
          </w:p>
        </w:tc>
        <w:tc>
          <w:tcPr>
            <w:tcW w:w="95"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1" w:type="dxa"/>
            <w:tcBorders>
              <w:bottom w:val="double" w:sz="10" w:space="0" w:color="000000"/>
            </w:tcBorders>
            <w:shd w:fill="CCEEFF" w:val="clear"/>
            <w:tcMar>
              <w:bottom w:w="28" w:type="dxa"/>
            </w:tcMar>
            <w:vAlign w:val="center"/>
          </w:tcPr>
          <w:p>
            <w:pPr>
              <w:pStyle w:val="TableContents"/>
              <w:bidi w:val="0"/>
              <w:spacing w:before="0" w:after="283"/>
              <w:jc w:val="right"/>
              <w:rPr/>
            </w:pPr>
            <w:r>
              <w:rPr/>
              <w:t>186,605</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745" w:type="dxa"/>
            <w:tcBorders/>
            <w:shd w:fill="FFFFFF" w:val="clear"/>
            <w:vAlign w:val="center"/>
          </w:tcPr>
          <w:p>
            <w:pPr>
              <w:pStyle w:val="TableContents"/>
              <w:bidi w:val="0"/>
              <w:spacing w:before="0" w:after="283"/>
              <w:jc w:val="left"/>
              <w:rPr>
                <w:b/>
              </w:rPr>
            </w:pPr>
            <w:r>
              <w:rPr>
                <w:b/>
              </w:rPr>
              <w:t>LIABILITIES, REDEEMABLE CONVERTIBLE PREFERRED STOCK, AND STOCKHOLDERS’ EQUITY (DEFICIT)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3,154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(478</w:t>
            </w:r>
          </w:p>
        </w:tc>
        <w:tc>
          <w:tcPr>
            <w:tcW w:w="95" w:type="dxa"/>
            <w:tcBorders/>
            <w:shd w:fill="FFFFFF" w:val="clear"/>
            <w:vAlign w:val="center"/>
          </w:tcPr>
          <w:p>
            <w:pPr>
              <w:pStyle w:val="TableContents"/>
              <w:bidi w:val="0"/>
              <w:spacing w:before="0" w:after="283"/>
              <w:jc w:val="left"/>
              <w:rPr/>
            </w:pPr>
            <w:r>
              <w:rPr/>
              <w:t>)</w:t>
            </w:r>
          </w:p>
        </w:tc>
        <w:tc>
          <w:tcPr>
            <w:tcW w:w="140" w:type="dxa"/>
            <w:tcBorders/>
            <w:shd w:fill="FFFFFF" w:val="clear"/>
            <w:vAlign w:val="center"/>
          </w:tcPr>
          <w:p>
            <w:pPr>
              <w:pStyle w:val="TableContents"/>
              <w:bidi w:val="0"/>
              <w:spacing w:before="0" w:after="283"/>
              <w:jc w:val="right"/>
              <w:rPr>
                <w:b/>
              </w:rPr>
            </w:pPr>
            <w:r>
              <w:rPr>
                <w:b/>
              </w:rPr>
              <w:t>3</w:t>
            </w:r>
          </w:p>
        </w:tc>
        <w:tc>
          <w:tcPr>
            <w:tcW w:w="505" w:type="dxa"/>
            <w:tcBorders/>
            <w:shd w:fill="FFFFFF" w:val="clear"/>
            <w:vAlign w:val="center"/>
          </w:tcPr>
          <w:p>
            <w:pPr>
              <w:pStyle w:val="TableContents"/>
              <w:bidi w:val="0"/>
              <w:spacing w:before="0" w:after="283"/>
              <w:jc w:val="left"/>
              <w:rPr>
                <w:b/>
              </w:rPr>
            </w:pPr>
            <w:r>
              <w:rPr>
                <w:b/>
              </w:rPr>
              <w:t>(b)(2)</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2,676</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7,937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(4,848</w:t>
            </w:r>
          </w:p>
        </w:tc>
        <w:tc>
          <w:tcPr>
            <w:tcW w:w="95"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right"/>
              <w:rPr>
                <w:b/>
              </w:rPr>
            </w:pPr>
            <w:r>
              <w:rPr>
                <w:b/>
              </w:rPr>
              <w:t>3</w:t>
            </w:r>
          </w:p>
        </w:tc>
        <w:tc>
          <w:tcPr>
            <w:tcW w:w="505" w:type="dxa"/>
            <w:tcBorders/>
            <w:shd w:fill="CCEEFF" w:val="clear"/>
            <w:vAlign w:val="center"/>
          </w:tcPr>
          <w:p>
            <w:pPr>
              <w:pStyle w:val="TableContents"/>
              <w:bidi w:val="0"/>
              <w:spacing w:before="0" w:after="283"/>
              <w:jc w:val="left"/>
              <w:rPr>
                <w:b/>
              </w:rPr>
            </w:pPr>
            <w:r>
              <w:rPr>
                <w:b/>
              </w:rPr>
              <w:t>(b)(3)</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5,419</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pPr>
            <w:r>
              <w:rPr/>
              <w:t>Long-term debt, current portion, net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19,271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19,271</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Convertible promissory notes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29,107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(29,107</w:t>
            </w:r>
          </w:p>
        </w:tc>
        <w:tc>
          <w:tcPr>
            <w:tcW w:w="95"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right"/>
              <w:rPr>
                <w:b/>
              </w:rPr>
            </w:pPr>
            <w:r>
              <w:rPr>
                <w:b/>
              </w:rPr>
              <w:t>3</w:t>
            </w:r>
          </w:p>
        </w:tc>
        <w:tc>
          <w:tcPr>
            <w:tcW w:w="505" w:type="dxa"/>
            <w:tcBorders/>
            <w:shd w:fill="CCEEFF" w:val="clear"/>
            <w:vAlign w:val="center"/>
          </w:tcPr>
          <w:p>
            <w:pPr>
              <w:pStyle w:val="TableContents"/>
              <w:bidi w:val="0"/>
              <w:spacing w:before="0" w:after="283"/>
              <w:jc w:val="left"/>
              <w:rPr>
                <w:b/>
              </w:rPr>
            </w:pPr>
            <w:r>
              <w:rPr>
                <w:b/>
              </w:rPr>
              <w:t>(c)(8)</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pPr>
            <w:r>
              <w:rPr/>
              <w:t>Cash underwriting fee payable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w:t>
            </w:r>
          </w:p>
        </w:tc>
        <w:tc>
          <w:tcPr>
            <w:tcW w:w="140" w:type="dxa"/>
            <w:tcBorders/>
            <w:shd w:fill="FFFFFF" w:val="clear"/>
            <w:vAlign w:val="center"/>
          </w:tcPr>
          <w:p>
            <w:pPr>
              <w:pStyle w:val="TableContents"/>
              <w:bidi w:val="0"/>
              <w:spacing w:before="0" w:after="283"/>
              <w:jc w:val="right"/>
              <w:rPr>
                <w:b/>
              </w:rPr>
            </w:pPr>
            <w:r>
              <w:rPr>
                <w:b/>
              </w:rPr>
              <w:t>3</w:t>
            </w:r>
          </w:p>
        </w:tc>
        <w:tc>
          <w:tcPr>
            <w:tcW w:w="505" w:type="dxa"/>
            <w:tcBorders/>
            <w:shd w:fill="FFFFFF" w:val="clear"/>
            <w:vAlign w:val="center"/>
          </w:tcPr>
          <w:p>
            <w:pPr>
              <w:pStyle w:val="TableContents"/>
              <w:bidi w:val="0"/>
              <w:spacing w:before="0" w:after="283"/>
              <w:jc w:val="left"/>
              <w:rPr>
                <w:b/>
              </w:rPr>
            </w:pPr>
            <w:r>
              <w:rPr>
                <w:b/>
              </w:rPr>
              <w:t>(a)(2)</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Contract loss provision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4,173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4,173</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657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FFFFFF" w:val="clear"/>
            <w:tcMar>
              <w:bottom w:w="28" w:type="dxa"/>
            </w:tcMar>
            <w:vAlign w:val="center"/>
          </w:tcPr>
          <w:p>
            <w:pPr>
              <w:pStyle w:val="TableContents"/>
              <w:bidi w:val="0"/>
              <w:spacing w:before="0" w:after="283"/>
              <w:jc w:val="right"/>
              <w:rPr/>
            </w:pPr>
            <w:r>
              <w:rPr/>
              <w:t>657</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64,299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(35,433</w:t>
            </w:r>
          </w:p>
        </w:tc>
        <w:tc>
          <w:tcPr>
            <w:tcW w:w="95"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32,196</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pPr>
            <w:r>
              <w:rPr/>
              <w:t>Long-term debt, non-current portion, net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12,784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12,784</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331</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76,766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65,411</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b/>
              </w:rPr>
            </w:pPr>
            <w:r>
              <w:rPr>
                <w:b/>
              </w:rPr>
              <w:t>3</w:t>
            </w:r>
          </w:p>
        </w:tc>
        <w:tc>
          <w:tcPr>
            <w:tcW w:w="505" w:type="dxa"/>
            <w:tcBorders/>
            <w:shd w:fill="FFFFFF" w:val="clear"/>
            <w:vAlign w:val="center"/>
          </w:tcPr>
          <w:p>
            <w:pPr>
              <w:pStyle w:val="TableContents"/>
              <w:bidi w:val="0"/>
              <w:spacing w:before="0" w:after="283"/>
              <w:jc w:val="left"/>
              <w:rPr>
                <w:b/>
              </w:rPr>
            </w:pPr>
            <w:r>
              <w:rPr>
                <w:b/>
              </w:rPr>
              <w:t>(c)(6)(7)(8)</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142,177</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Deferred underwriting fee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03" w:type="dxa"/>
            <w:tcBorders>
              <w:bottom w:val="single" w:sz="12" w:space="0" w:color="000000"/>
            </w:tcBorders>
            <w:shd w:fill="CCEEFF" w:val="clear"/>
            <w:tcMar>
              <w:bottom w:w="28" w:type="dxa"/>
            </w:tcMar>
            <w:vAlign w:val="center"/>
          </w:tcPr>
          <w:p>
            <w:pPr>
              <w:pStyle w:val="TableContents"/>
              <w:bidi w:val="0"/>
              <w:spacing w:before="0" w:after="283"/>
              <w:jc w:val="right"/>
              <w:rPr/>
            </w:pPr>
            <w:r>
              <w:rPr/>
              <w:t>(8,750</w:t>
            </w:r>
          </w:p>
        </w:tc>
        <w:tc>
          <w:tcPr>
            <w:tcW w:w="95"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right"/>
              <w:rPr>
                <w:b/>
              </w:rPr>
            </w:pPr>
            <w:r>
              <w:rPr>
                <w:b/>
              </w:rPr>
              <w:t>3</w:t>
            </w:r>
          </w:p>
        </w:tc>
        <w:tc>
          <w:tcPr>
            <w:tcW w:w="505" w:type="dxa"/>
            <w:tcBorders/>
            <w:shd w:fill="CCEEFF" w:val="clear"/>
            <w:vAlign w:val="center"/>
          </w:tcPr>
          <w:p>
            <w:pPr>
              <w:pStyle w:val="TableContents"/>
              <w:bidi w:val="0"/>
              <w:spacing w:before="0" w:after="283"/>
              <w:jc w:val="left"/>
              <w:rPr>
                <w:b/>
              </w:rPr>
            </w:pPr>
            <w:r>
              <w:rPr>
                <w:b/>
              </w:rPr>
              <w:t>(a)(2)</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12,080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154,180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3" w:type="dxa"/>
            <w:tcBorders>
              <w:bottom w:val="single" w:sz="12" w:space="0" w:color="000000"/>
            </w:tcBorders>
            <w:shd w:fill="FFFFFF" w:val="clear"/>
            <w:tcMar>
              <w:bottom w:w="28" w:type="dxa"/>
            </w:tcMar>
            <w:vAlign w:val="center"/>
          </w:tcPr>
          <w:p>
            <w:pPr>
              <w:pStyle w:val="TableContents"/>
              <w:bidi w:val="0"/>
              <w:spacing w:before="0" w:after="283"/>
              <w:jc w:val="right"/>
              <w:rPr/>
            </w:pPr>
            <w:r>
              <w:rPr/>
              <w:t>21,228</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FFFFFF" w:val="clear"/>
            <w:tcMar>
              <w:bottom w:w="28" w:type="dxa"/>
            </w:tcMar>
            <w:vAlign w:val="center"/>
          </w:tcPr>
          <w:p>
            <w:pPr>
              <w:pStyle w:val="TableContents"/>
              <w:bidi w:val="0"/>
              <w:spacing w:before="0" w:after="283"/>
              <w:jc w:val="right"/>
              <w:rPr/>
            </w:pPr>
            <w:r>
              <w:rPr/>
              <w:t>187,488</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745" w:type="dxa"/>
            <w:tcBorders/>
            <w:shd w:fill="FFFFFF" w:val="clear"/>
            <w:vAlign w:val="center"/>
          </w:tcPr>
          <w:p>
            <w:pPr>
              <w:pStyle w:val="TableContents"/>
              <w:bidi w:val="0"/>
              <w:spacing w:before="0" w:after="283"/>
              <w:jc w:val="left"/>
              <w:rPr/>
            </w:pPr>
            <w:r>
              <w:rPr/>
              <w:t>Class A ordinary shares subject to possible redemption, $0.0001 par value; 500,000,000 shares authorized; 25,000,000 shares issued and outstanding, at redemption value of approximately $10.49 per share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262,236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(262,236</w:t>
            </w:r>
          </w:p>
        </w:tc>
        <w:tc>
          <w:tcPr>
            <w:tcW w:w="95" w:type="dxa"/>
            <w:tcBorders/>
            <w:shd w:fill="FFFFFF" w:val="clear"/>
            <w:vAlign w:val="center"/>
          </w:tcPr>
          <w:p>
            <w:pPr>
              <w:pStyle w:val="TableContents"/>
              <w:bidi w:val="0"/>
              <w:spacing w:before="0" w:after="283"/>
              <w:jc w:val="left"/>
              <w:rPr/>
            </w:pPr>
            <w:r>
              <w:rPr/>
              <w:t>)</w:t>
            </w:r>
          </w:p>
        </w:tc>
        <w:tc>
          <w:tcPr>
            <w:tcW w:w="140" w:type="dxa"/>
            <w:tcBorders/>
            <w:shd w:fill="FFFFFF" w:val="clear"/>
            <w:vAlign w:val="center"/>
          </w:tcPr>
          <w:p>
            <w:pPr>
              <w:pStyle w:val="TableContents"/>
              <w:bidi w:val="0"/>
              <w:spacing w:before="0" w:after="283"/>
              <w:jc w:val="right"/>
              <w:rPr>
                <w:b/>
              </w:rPr>
            </w:pPr>
            <w:r>
              <w:rPr>
                <w:b/>
              </w:rPr>
              <w:t>3</w:t>
            </w:r>
          </w:p>
        </w:tc>
        <w:tc>
          <w:tcPr>
            <w:tcW w:w="505" w:type="dxa"/>
            <w:tcBorders/>
            <w:shd w:fill="FFFFFF" w:val="clear"/>
            <w:vAlign w:val="center"/>
          </w:tcPr>
          <w:p>
            <w:pPr>
              <w:pStyle w:val="TableContents"/>
              <w:bidi w:val="0"/>
              <w:spacing w:before="0" w:after="283"/>
              <w:jc w:val="left"/>
              <w:rPr>
                <w:b/>
              </w:rPr>
            </w:pPr>
            <w:r>
              <w:rPr>
                <w:b/>
              </w:rPr>
              <w:t>(c)(1)</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461,963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(461,963</w:t>
            </w:r>
          </w:p>
        </w:tc>
        <w:tc>
          <w:tcPr>
            <w:tcW w:w="95"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right"/>
              <w:rPr>
                <w:b/>
              </w:rPr>
            </w:pPr>
            <w:r>
              <w:rPr>
                <w:b/>
              </w:rPr>
              <w:t>3</w:t>
            </w:r>
          </w:p>
        </w:tc>
        <w:tc>
          <w:tcPr>
            <w:tcW w:w="505" w:type="dxa"/>
            <w:tcBorders/>
            <w:shd w:fill="CCEEFF" w:val="clear"/>
            <w:vAlign w:val="center"/>
          </w:tcPr>
          <w:p>
            <w:pPr>
              <w:pStyle w:val="TableContents"/>
              <w:bidi w:val="0"/>
              <w:spacing w:before="0" w:after="283"/>
              <w:jc w:val="left"/>
              <w:rPr>
                <w:b/>
              </w:rPr>
            </w:pPr>
            <w:r>
              <w:rPr>
                <w:b/>
              </w:rPr>
              <w:t>(c)(4)</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745" w:type="dxa"/>
            <w:tcBorders/>
            <w:shd w:fill="FFFFFF" w:val="clear"/>
            <w:vAlign w:val="center"/>
          </w:tcPr>
          <w:p>
            <w:pPr>
              <w:pStyle w:val="TableContents"/>
              <w:bidi w:val="0"/>
              <w:spacing w:before="0" w:after="283"/>
              <w:jc w:val="left"/>
              <w:rPr/>
            </w:pPr>
            <w:r>
              <w:rPr/>
              <w:t>New Merlin Series A 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65,528</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b/>
              </w:rPr>
            </w:pPr>
            <w:r>
              <w:rPr>
                <w:b/>
              </w:rPr>
              <w:t>3</w:t>
            </w:r>
          </w:p>
        </w:tc>
        <w:tc>
          <w:tcPr>
            <w:tcW w:w="505" w:type="dxa"/>
            <w:tcBorders/>
            <w:shd w:fill="FFFFFF" w:val="clear"/>
            <w:vAlign w:val="center"/>
          </w:tcPr>
          <w:p>
            <w:pPr>
              <w:pStyle w:val="TableContents"/>
              <w:bidi w:val="0"/>
              <w:spacing w:before="0" w:after="283"/>
              <w:jc w:val="left"/>
              <w:rPr>
                <w:b/>
              </w:rPr>
            </w:pPr>
            <w:r>
              <w:rPr>
                <w:b/>
              </w:rPr>
              <w:t>(c)(8)</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65,528</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3745" w:type="dxa"/>
            <w:tcBorders/>
            <w:shd w:fill="CCEEFF" w:val="clear"/>
            <w:vAlign w:val="center"/>
          </w:tcPr>
          <w:p>
            <w:pPr>
              <w:pStyle w:val="TableContents"/>
              <w:bidi w:val="0"/>
              <w:spacing w:before="0" w:after="283"/>
              <w:jc w:val="left"/>
              <w:rPr/>
            </w:pPr>
            <w:r>
              <w:rPr/>
              <w:t>Preferred shares, $0.0001 par value; 5,000,000 shares authorized; none issued or outstanding</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745" w:type="dxa"/>
            <w:tcBorders/>
            <w:shd w:fill="FFFFFF" w:val="clear"/>
            <w:vAlign w:val="center"/>
          </w:tcPr>
          <w:p>
            <w:pPr>
              <w:pStyle w:val="TableContents"/>
              <w:bidi w:val="0"/>
              <w:spacing w:before="0" w:after="283"/>
              <w:jc w:val="left"/>
              <w:rPr/>
            </w:pPr>
            <w:r>
              <w:rPr/>
              <w:t>Class A ordinary shares, $0.0001 par value; 500,000,000 shares authorized; 425,000 shares issued and outstanding (excluding 25,000,000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b/>
              </w:rPr>
            </w:pPr>
            <w:r>
              <w:rPr>
                <w:b/>
              </w:rPr>
              <w:t>3</w:t>
            </w:r>
          </w:p>
        </w:tc>
        <w:tc>
          <w:tcPr>
            <w:tcW w:w="505" w:type="dxa"/>
            <w:tcBorders/>
            <w:shd w:fill="FFFFFF" w:val="clear"/>
            <w:vAlign w:val="center"/>
          </w:tcPr>
          <w:p>
            <w:pPr>
              <w:pStyle w:val="TableContents"/>
              <w:bidi w:val="0"/>
              <w:spacing w:before="0" w:after="283"/>
              <w:jc w:val="left"/>
              <w:rPr>
                <w:b/>
              </w:rPr>
            </w:pPr>
            <w:r>
              <w:rPr>
                <w:b/>
              </w:rPr>
              <w:t>(c)(1)</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3745" w:type="dxa"/>
            <w:tcBorders/>
            <w:shd w:fill="CCEEFF" w:val="clear"/>
            <w:vAlign w:val="center"/>
          </w:tcPr>
          <w:p>
            <w:pPr>
              <w:pStyle w:val="TableContents"/>
              <w:bidi w:val="0"/>
              <w:spacing w:before="0" w:after="283"/>
              <w:jc w:val="left"/>
              <w:rPr/>
            </w:pPr>
            <w:r>
              <w:rPr/>
              <w:t>Class B ordinary shares, $0.0001 par value; 50,000,000 shares authorized; 8,333,333 shares issued and outstanding</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right"/>
              <w:rPr>
                <w:b/>
              </w:rPr>
            </w:pPr>
            <w:r>
              <w:rPr>
                <w:b/>
              </w:rPr>
              <w:t>3</w:t>
            </w:r>
          </w:p>
        </w:tc>
        <w:tc>
          <w:tcPr>
            <w:tcW w:w="505" w:type="dxa"/>
            <w:tcBorders/>
            <w:shd w:fill="CCEEFF" w:val="clear"/>
            <w:vAlign w:val="center"/>
          </w:tcPr>
          <w:p>
            <w:pPr>
              <w:pStyle w:val="TableContents"/>
              <w:bidi w:val="0"/>
              <w:spacing w:before="0" w:after="283"/>
              <w:jc w:val="left"/>
              <w:rPr>
                <w:b/>
              </w:rPr>
            </w:pPr>
            <w:r>
              <w:rPr>
                <w:b/>
              </w:rPr>
              <w:t>(c)(2)</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745" w:type="dxa"/>
            <w:tcBorders/>
            <w:shd w:fill="FFFFFF" w:val="clear"/>
            <w:vAlign w:val="center"/>
          </w:tcPr>
          <w:p>
            <w:pPr>
              <w:pStyle w:val="TableContents"/>
              <w:bidi w:val="0"/>
              <w:spacing w:before="0" w:after="283"/>
              <w:jc w:val="left"/>
              <w:rPr/>
            </w:pPr>
            <w:r>
              <w:rPr/>
              <w:t>Common Stock: $0.0001 par value; 44,705,861 and 29,500,000 shares authorized; 5,306,250 and 5,169,812 shares issued and outstanding as of December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140" w:type="dxa"/>
            <w:tcBorders/>
            <w:shd w:fill="FFFFFF" w:val="clear"/>
            <w:vAlign w:val="center"/>
          </w:tcPr>
          <w:p>
            <w:pPr>
              <w:pStyle w:val="TableContents"/>
              <w:bidi w:val="0"/>
              <w:spacing w:before="0" w:after="283"/>
              <w:jc w:val="right"/>
              <w:rPr>
                <w:b/>
              </w:rPr>
            </w:pPr>
            <w:r>
              <w:rPr>
                <w:b/>
              </w:rPr>
              <w:t>3</w:t>
            </w:r>
          </w:p>
        </w:tc>
        <w:tc>
          <w:tcPr>
            <w:tcW w:w="505" w:type="dxa"/>
            <w:tcBorders/>
            <w:shd w:fill="FFFFFF" w:val="clear"/>
            <w:vAlign w:val="center"/>
          </w:tcPr>
          <w:p>
            <w:pPr>
              <w:pStyle w:val="TableContents"/>
              <w:bidi w:val="0"/>
              <w:spacing w:before="0" w:after="283"/>
              <w:jc w:val="left"/>
              <w:rPr>
                <w:b/>
              </w:rPr>
            </w:pPr>
            <w:r>
              <w:rPr>
                <w:b/>
              </w:rPr>
              <w:t>(c)(5)</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New Merlin Class A common stock</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b/>
              </w:rPr>
            </w:pPr>
            <w:r>
              <w:rPr>
                <w:b/>
              </w:rPr>
              <w:t>3</w:t>
            </w:r>
          </w:p>
        </w:tc>
        <w:tc>
          <w:tcPr>
            <w:tcW w:w="505" w:type="dxa"/>
            <w:tcBorders/>
            <w:shd w:fill="CCEEFF" w:val="clear"/>
            <w:vAlign w:val="center"/>
          </w:tcPr>
          <w:p>
            <w:pPr>
              <w:pStyle w:val="TableContents"/>
              <w:bidi w:val="0"/>
              <w:spacing w:before="0" w:after="283"/>
              <w:jc w:val="left"/>
              <w:rPr>
                <w:b/>
              </w:rPr>
            </w:pPr>
            <w:r>
              <w:rPr>
                <w:b/>
              </w:rPr>
              <w:t>(c)(1)(2)(3)(4)(5)(6)(7)</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8</w:t>
            </w:r>
          </w:p>
        </w:tc>
        <w:tc>
          <w:tcPr>
            <w:tcW w:w="115" w:type="dxa"/>
            <w:tcBorders/>
            <w:shd w:fill="CCEEFF" w:val="clear"/>
            <w:vAlign w:val="center"/>
          </w:tcPr>
          <w:p>
            <w:pPr>
              <w:pStyle w:val="TableContents"/>
              <w:bidi w:val="0"/>
              <w:spacing w:before="0" w:after="283"/>
              <w:jc w:val="left"/>
              <w:rPr/>
            </w:pPr>
            <w:r>
              <w:rPr/>
              <w:t> </w:t>
            </w:r>
          </w:p>
        </w:tc>
      </w:tr>
      <w:tr>
        <w:trPr/>
        <w:tc>
          <w:tcPr>
            <w:tcW w:w="374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15,491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452,340</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b/>
              </w:rPr>
            </w:pPr>
            <w:r>
              <w:rPr>
                <w:b/>
              </w:rPr>
              <w:t>3</w:t>
            </w:r>
          </w:p>
        </w:tc>
        <w:tc>
          <w:tcPr>
            <w:tcW w:w="505" w:type="dxa"/>
            <w:tcBorders/>
            <w:shd w:fill="FFFFFF" w:val="clear"/>
            <w:vAlign w:val="center"/>
          </w:tcPr>
          <w:p>
            <w:pPr>
              <w:pStyle w:val="TableContents"/>
              <w:bidi w:val="0"/>
              <w:spacing w:before="0" w:after="283"/>
              <w:jc w:val="left"/>
              <w:rPr>
                <w:b/>
              </w:rPr>
            </w:pPr>
            <w:r>
              <w:rPr>
                <w:b/>
              </w:rPr>
              <w:t>(c)(1)(4)(5)(9)(10)</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467,831</w:t>
            </w:r>
          </w:p>
        </w:tc>
        <w:tc>
          <w:tcPr>
            <w:tcW w:w="115" w:type="dxa"/>
            <w:tcBorders/>
            <w:shd w:fill="FFFFFF" w:val="clear"/>
            <w:vAlign w:val="center"/>
          </w:tcPr>
          <w:p>
            <w:pPr>
              <w:pStyle w:val="TableContents"/>
              <w:bidi w:val="0"/>
              <w:spacing w:before="0" w:after="283"/>
              <w:jc w:val="left"/>
              <w:rPr/>
            </w:pPr>
            <w:r>
              <w:rPr/>
              <w:t> </w:t>
            </w:r>
          </w:p>
        </w:tc>
      </w:tr>
      <w:tr>
        <w:trPr/>
        <w:tc>
          <w:tcPr>
            <w:tcW w:w="374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(11,167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pPr>
            <w:r>
              <w:rPr/>
              <w:t>(551,053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03" w:type="dxa"/>
            <w:tcBorders>
              <w:bottom w:val="single" w:sz="12" w:space="0" w:color="000000"/>
            </w:tcBorders>
            <w:shd w:fill="CCEEFF" w:val="clear"/>
            <w:tcMar>
              <w:bottom w:w="28" w:type="dxa"/>
            </w:tcMar>
            <w:vAlign w:val="center"/>
          </w:tcPr>
          <w:p>
            <w:pPr>
              <w:pStyle w:val="TableContents"/>
              <w:bidi w:val="0"/>
              <w:spacing w:before="0" w:after="283"/>
              <w:jc w:val="right"/>
              <w:rPr/>
            </w:pPr>
            <w:r>
              <w:rPr/>
              <w:t>27,970</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b/>
              </w:rPr>
            </w:pPr>
            <w:r>
              <w:rPr>
                <w:b/>
              </w:rPr>
              <w:t>3</w:t>
            </w:r>
          </w:p>
        </w:tc>
        <w:tc>
          <w:tcPr>
            <w:tcW w:w="505" w:type="dxa"/>
            <w:tcBorders/>
            <w:shd w:fill="CCEEFF" w:val="clear"/>
            <w:vAlign w:val="center"/>
          </w:tcPr>
          <w:p>
            <w:pPr>
              <w:pStyle w:val="TableContents"/>
              <w:bidi w:val="0"/>
              <w:spacing w:before="0" w:after="283"/>
              <w:jc w:val="left"/>
              <w:rPr>
                <w:b/>
              </w:rPr>
            </w:pPr>
            <w:r>
              <w:rPr>
                <w:b/>
              </w:rPr>
              <w:t>(c)(8)(9)(10)</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CCEEFF" w:val="clear"/>
            <w:tcMar>
              <w:bottom w:w="28" w:type="dxa"/>
            </w:tcMar>
            <w:vAlign w:val="center"/>
          </w:tcPr>
          <w:p>
            <w:pPr>
              <w:pStyle w:val="TableContents"/>
              <w:bidi w:val="0"/>
              <w:spacing w:before="0" w:after="283"/>
              <w:jc w:val="right"/>
              <w:rPr/>
            </w:pPr>
            <w:r>
              <w:rPr/>
              <w:t>(534,250</w:t>
            </w:r>
          </w:p>
        </w:tc>
        <w:tc>
          <w:tcPr>
            <w:tcW w:w="115" w:type="dxa"/>
            <w:tcBorders/>
            <w:shd w:fill="CCEEFF" w:val="clear"/>
            <w:vAlign w:val="center"/>
          </w:tcPr>
          <w:p>
            <w:pPr>
              <w:pStyle w:val="TableContents"/>
              <w:bidi w:val="0"/>
              <w:spacing w:before="0" w:after="283"/>
              <w:jc w:val="left"/>
              <w:rPr/>
            </w:pPr>
            <w:r>
              <w:rPr/>
              <w:t>)</w:t>
            </w:r>
          </w:p>
        </w:tc>
      </w:tr>
      <w:tr>
        <w:trPr/>
        <w:tc>
          <w:tcPr>
            <w:tcW w:w="3745"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(11,166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(535,561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3" w:type="dxa"/>
            <w:tcBorders>
              <w:bottom w:val="single" w:sz="12" w:space="0" w:color="000000"/>
            </w:tcBorders>
            <w:shd w:fill="FFFFFF" w:val="clear"/>
            <w:tcMar>
              <w:bottom w:w="28" w:type="dxa"/>
            </w:tcMar>
            <w:vAlign w:val="center"/>
          </w:tcPr>
          <w:p>
            <w:pPr>
              <w:pStyle w:val="TableContents"/>
              <w:bidi w:val="0"/>
              <w:spacing w:before="0" w:after="283"/>
              <w:jc w:val="right"/>
              <w:rPr/>
            </w:pPr>
            <w:r>
              <w:rPr/>
              <w:t>480,316</w:t>
            </w:r>
          </w:p>
        </w:tc>
        <w:tc>
          <w:tcPr>
            <w:tcW w:w="9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FFFFFF" w:val="clear"/>
            <w:tcMar>
              <w:bottom w:w="28" w:type="dxa"/>
            </w:tcMar>
            <w:vAlign w:val="center"/>
          </w:tcPr>
          <w:p>
            <w:pPr>
              <w:pStyle w:val="TableContents"/>
              <w:bidi w:val="0"/>
              <w:spacing w:before="0" w:after="283"/>
              <w:jc w:val="right"/>
              <w:rPr/>
            </w:pPr>
            <w:r>
              <w:rPr/>
              <w:t>(66,411</w:t>
            </w:r>
          </w:p>
        </w:tc>
        <w:tc>
          <w:tcPr>
            <w:tcW w:w="115" w:type="dxa"/>
            <w:tcBorders/>
            <w:shd w:fill="FFFFFF" w:val="clear"/>
            <w:vAlign w:val="center"/>
          </w:tcPr>
          <w:p>
            <w:pPr>
              <w:pStyle w:val="TableContents"/>
              <w:bidi w:val="0"/>
              <w:spacing w:before="0" w:after="283"/>
              <w:jc w:val="left"/>
              <w:rPr/>
            </w:pPr>
            <w:r>
              <w:rPr/>
              <w:t>)</w:t>
            </w:r>
          </w:p>
        </w:tc>
      </w:tr>
      <w:tr>
        <w:trPr/>
        <w:tc>
          <w:tcPr>
            <w:tcW w:w="3745" w:type="dxa"/>
            <w:tcBorders/>
            <w:shd w:fill="CCEEFF" w:val="clear"/>
            <w:vAlign w:val="center"/>
          </w:tcPr>
          <w:p>
            <w:pPr>
              <w:pStyle w:val="TableContents"/>
              <w:bidi w:val="0"/>
              <w:spacing w:before="0" w:after="283"/>
              <w:jc w:val="left"/>
              <w:rPr>
                <w:b/>
              </w:rPr>
            </w:pPr>
            <w:r>
              <w:rPr>
                <w:b/>
              </w:rPr>
              <w:t>Total liabilities, redeemable convertible preferred stock, and stockholders’ equity (deficit)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263,150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9" w:type="dxa"/>
            <w:tcBorders>
              <w:bottom w:val="double" w:sz="10" w:space="0" w:color="000000"/>
            </w:tcBorders>
            <w:shd w:fill="CCEEFF" w:val="clear"/>
            <w:tcMar>
              <w:bottom w:w="28" w:type="dxa"/>
            </w:tcMar>
            <w:vAlign w:val="center"/>
          </w:tcPr>
          <w:p>
            <w:pPr>
              <w:pStyle w:val="TableContents"/>
              <w:bidi w:val="0"/>
              <w:spacing w:before="0" w:after="283"/>
              <w:jc w:val="right"/>
              <w:rPr/>
            </w:pPr>
            <w:r>
              <w:rPr/>
              <w:t>80,582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03" w:type="dxa"/>
            <w:tcBorders>
              <w:bottom w:val="double" w:sz="10" w:space="0" w:color="000000"/>
            </w:tcBorders>
            <w:shd w:fill="CCEEFF" w:val="clear"/>
            <w:tcMar>
              <w:bottom w:w="28" w:type="dxa"/>
            </w:tcMar>
            <w:vAlign w:val="center"/>
          </w:tcPr>
          <w:p>
            <w:pPr>
              <w:pStyle w:val="TableContents"/>
              <w:bidi w:val="0"/>
              <w:spacing w:before="0" w:after="283"/>
              <w:jc w:val="right"/>
              <w:rPr/>
            </w:pPr>
            <w:r>
              <w:rPr/>
              <w:t>(157,127</w:t>
            </w:r>
          </w:p>
        </w:tc>
        <w:tc>
          <w:tcPr>
            <w:tcW w:w="95" w:type="dxa"/>
            <w:tcBorders/>
            <w:shd w:fill="CCEEFF" w:val="clear"/>
            <w:vAlign w:val="center"/>
          </w:tcPr>
          <w:p>
            <w:pPr>
              <w:pStyle w:val="TableContents"/>
              <w:bidi w:val="0"/>
              <w:spacing w:before="0" w:after="283"/>
              <w:jc w:val="left"/>
              <w:rPr/>
            </w:pPr>
            <w:r>
              <w:rPr/>
              <w:t>)</w:t>
            </w:r>
          </w:p>
        </w:tc>
        <w:tc>
          <w:tcPr>
            <w:tcW w:w="140"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1" w:type="dxa"/>
            <w:tcBorders>
              <w:bottom w:val="double" w:sz="10" w:space="0" w:color="000000"/>
            </w:tcBorders>
            <w:shd w:fill="CCEEFF" w:val="clear"/>
            <w:tcMar>
              <w:bottom w:w="28" w:type="dxa"/>
            </w:tcMar>
            <w:vAlign w:val="center"/>
          </w:tcPr>
          <w:p>
            <w:pPr>
              <w:pStyle w:val="TableContents"/>
              <w:bidi w:val="0"/>
              <w:spacing w:before="0" w:after="283"/>
              <w:jc w:val="right"/>
              <w:rPr/>
            </w:pPr>
            <w:r>
              <w:rPr/>
              <w:t>186,605</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br/>
        <w:t>(in thousands, except share and per share amounts)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61"/>
        <w:gridCol w:w="60"/>
        <w:gridCol w:w="141"/>
        <w:gridCol w:w="1115"/>
        <w:gridCol w:w="95"/>
        <w:gridCol w:w="60"/>
        <w:gridCol w:w="160"/>
        <w:gridCol w:w="1123"/>
        <w:gridCol w:w="95"/>
        <w:gridCol w:w="60"/>
        <w:gridCol w:w="356"/>
        <w:gridCol w:w="2050"/>
        <w:gridCol w:w="95"/>
        <w:gridCol w:w="328"/>
        <w:gridCol w:w="60"/>
        <w:gridCol w:w="164"/>
        <w:gridCol w:w="1293"/>
        <w:gridCol w:w="89"/>
      </w:tblGrid>
      <w:tr>
        <w:trPr/>
        <w:tc>
          <w:tcPr>
            <w:tcW w:w="286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2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Inflection Point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Merlin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 Redemptions: Transaction Accounting Adjustments</w:t>
            </w:r>
          </w:p>
        </w:tc>
        <w:tc>
          <w:tcPr>
            <w:tcW w:w="95"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Combined</w:t>
            </w:r>
          </w:p>
        </w:tc>
        <w:tc>
          <w:tcPr>
            <w:tcW w:w="89" w:type="dxa"/>
            <w:tcBorders/>
            <w:vAlign w:val="center"/>
          </w:tcPr>
          <w:p>
            <w:pPr>
              <w:pStyle w:val="TableContents"/>
              <w:bidi w:val="0"/>
              <w:spacing w:before="0" w:after="283"/>
              <w:ind w:left="0" w:right="0" w:hanging="180"/>
              <w:jc w:val="left"/>
              <w:rPr/>
            </w:pPr>
            <w:r>
              <w:rPr/>
              <w:t> </w:t>
            </w:r>
          </w:p>
        </w:tc>
      </w:tr>
      <w:tr>
        <w:trPr/>
        <w:tc>
          <w:tcPr>
            <w:tcW w:w="2861"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w:t>
            </w:r>
          </w:p>
        </w:tc>
        <w:tc>
          <w:tcPr>
            <w:tcW w:w="20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7,551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2861"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9,182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FFFFFF" w:val="clear"/>
            <w:tcMar>
              <w:bottom w:w="28" w:type="dxa"/>
            </w:tcMar>
            <w:vAlign w:val="center"/>
          </w:tcPr>
          <w:p>
            <w:pPr>
              <w:pStyle w:val="TableContents"/>
              <w:bidi w:val="0"/>
              <w:spacing w:before="0" w:after="283"/>
              <w:jc w:val="right"/>
              <w:rPr/>
            </w:pPr>
            <w:r>
              <w:rPr/>
              <w:t>9,182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2861"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(1,631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20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(1,631</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2861"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0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2861"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32,477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20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32,477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2861"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4,528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20,093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050" w:type="dxa"/>
            <w:tcBorders/>
            <w:shd w:fill="FFFFFF" w:val="clear"/>
            <w:vAlign w:val="center"/>
          </w:tcPr>
          <w:p>
            <w:pPr>
              <w:pStyle w:val="TableContents"/>
              <w:bidi w:val="0"/>
              <w:spacing w:before="0" w:after="283"/>
              <w:jc w:val="right"/>
              <w:rPr/>
            </w:pPr>
            <w:r>
              <w:rPr/>
              <w:t>1,366</w:t>
            </w:r>
          </w:p>
        </w:tc>
        <w:tc>
          <w:tcPr>
            <w:tcW w:w="95"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b/>
              </w:rPr>
            </w:pPr>
            <w:r>
              <w:rPr>
                <w:b/>
              </w:rPr>
              <w:t>4(a)</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25,987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2861"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1,318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CCEEFF" w:val="clear"/>
            <w:tcMar>
              <w:bottom w:w="28" w:type="dxa"/>
            </w:tcMar>
            <w:vAlign w:val="center"/>
          </w:tcPr>
          <w:p>
            <w:pPr>
              <w:pStyle w:val="TableContents"/>
              <w:bidi w:val="0"/>
              <w:spacing w:before="0" w:after="283"/>
              <w:jc w:val="right"/>
              <w:rPr/>
            </w:pPr>
            <w:r>
              <w:rPr/>
              <w:t>1,318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2861"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4,528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53,888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50" w:type="dxa"/>
            <w:tcBorders>
              <w:bottom w:val="single" w:sz="12" w:space="0" w:color="000000"/>
            </w:tcBorders>
            <w:shd w:fill="FFFFFF" w:val="clear"/>
            <w:tcMar>
              <w:bottom w:w="28" w:type="dxa"/>
            </w:tcMar>
            <w:vAlign w:val="center"/>
          </w:tcPr>
          <w:p>
            <w:pPr>
              <w:pStyle w:val="TableContents"/>
              <w:bidi w:val="0"/>
              <w:spacing w:before="0" w:after="283"/>
              <w:jc w:val="right"/>
              <w:rPr/>
            </w:pPr>
            <w:r>
              <w:rPr/>
              <w:t>1,366</w:t>
            </w:r>
          </w:p>
        </w:tc>
        <w:tc>
          <w:tcPr>
            <w:tcW w:w="95"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FFFFFF" w:val="clear"/>
            <w:tcMar>
              <w:bottom w:w="28" w:type="dxa"/>
            </w:tcMar>
            <w:vAlign w:val="center"/>
          </w:tcPr>
          <w:p>
            <w:pPr>
              <w:pStyle w:val="TableContents"/>
              <w:bidi w:val="0"/>
              <w:spacing w:before="0" w:after="283"/>
              <w:jc w:val="right"/>
              <w:rPr/>
            </w:pPr>
            <w:r>
              <w:rPr/>
              <w:t>59,782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2861"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(4,528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(55,519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2050" w:type="dxa"/>
            <w:tcBorders/>
            <w:shd w:fill="CCEEFF" w:val="clear"/>
            <w:vAlign w:val="center"/>
          </w:tcPr>
          <w:p>
            <w:pPr>
              <w:pStyle w:val="TableContents"/>
              <w:bidi w:val="0"/>
              <w:spacing w:before="0" w:after="283"/>
              <w:jc w:val="right"/>
              <w:rPr/>
            </w:pPr>
            <w:r>
              <w:rPr/>
              <w:t>(1,366</w:t>
            </w:r>
          </w:p>
        </w:tc>
        <w:tc>
          <w:tcPr>
            <w:tcW w:w="95" w:type="dxa"/>
            <w:tcBorders/>
            <w:shd w:fill="CCEEFF" w:val="clear"/>
            <w:vAlign w:val="center"/>
          </w:tcPr>
          <w:p>
            <w:pPr>
              <w:pStyle w:val="TableContents"/>
              <w:bidi w:val="0"/>
              <w:spacing w:before="0" w:after="283"/>
              <w:jc w:val="left"/>
              <w:rPr/>
            </w:pPr>
            <w:r>
              <w:rPr/>
              <w:t>)</w:t>
            </w:r>
          </w:p>
        </w:tc>
        <w:tc>
          <w:tcPr>
            <w:tcW w:w="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(61,413</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2861"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10,536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050" w:type="dxa"/>
            <w:tcBorders/>
            <w:shd w:fill="FFFFFF" w:val="clear"/>
            <w:vAlign w:val="center"/>
          </w:tcPr>
          <w:p>
            <w:pPr>
              <w:pStyle w:val="TableContents"/>
              <w:bidi w:val="0"/>
              <w:spacing w:before="0" w:after="283"/>
              <w:jc w:val="right"/>
              <w:rPr/>
            </w:pPr>
            <w:r>
              <w:rPr/>
              <w:t>(10,536</w:t>
            </w:r>
          </w:p>
        </w:tc>
        <w:tc>
          <w:tcPr>
            <w:tcW w:w="95" w:type="dxa"/>
            <w:tcBorders/>
            <w:shd w:fill="FFFFFF" w:val="clear"/>
            <w:vAlign w:val="center"/>
          </w:tcPr>
          <w:p>
            <w:pPr>
              <w:pStyle w:val="TableContents"/>
              <w:bidi w:val="0"/>
              <w:spacing w:before="0" w:after="283"/>
              <w:jc w:val="left"/>
              <w:rPr/>
            </w:pPr>
            <w:r>
              <w:rPr/>
              <w:t>)</w:t>
            </w:r>
          </w:p>
        </w:tc>
        <w:tc>
          <w:tcPr>
            <w:tcW w:w="328" w:type="dxa"/>
            <w:tcBorders/>
            <w:shd w:fill="FFFFFF" w:val="clear"/>
            <w:vAlign w:val="center"/>
          </w:tcPr>
          <w:p>
            <w:pPr>
              <w:pStyle w:val="TableContents"/>
              <w:bidi w:val="0"/>
              <w:spacing w:before="0" w:after="283"/>
              <w:jc w:val="left"/>
              <w:rPr>
                <w:b/>
              </w:rPr>
            </w:pPr>
            <w:r>
              <w:rPr>
                <w:b/>
              </w:rPr>
              <w:t>4(b)</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1,443</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2861"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(2,957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20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(2,957</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2861"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0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(159</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2861"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2050" w:type="dxa"/>
            <w:tcBorders/>
            <w:shd w:fill="CCEEFF" w:val="clear"/>
            <w:vAlign w:val="center"/>
          </w:tcPr>
          <w:p>
            <w:pPr>
              <w:pStyle w:val="TableContents"/>
              <w:bidi w:val="0"/>
              <w:spacing w:before="0" w:after="283"/>
              <w:jc w:val="right"/>
              <w:rPr/>
            </w:pPr>
            <w:r>
              <w:rPr/>
              <w:t>2,357</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b/>
              </w:rPr>
            </w:pPr>
            <w:r>
              <w:rPr>
                <w:b/>
              </w:rPr>
              <w:t>4(c)(1)</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2861" w:type="dxa"/>
            <w:tcBorders/>
            <w:shd w:fill="FFFFFF" w:val="clear"/>
            <w:vAlign w:val="center"/>
          </w:tcPr>
          <w:p>
            <w:pPr>
              <w:pStyle w:val="TableContents"/>
              <w:bidi w:val="0"/>
              <w:spacing w:before="0" w:after="283"/>
              <w:jc w:val="left"/>
              <w:rPr/>
            </w:pPr>
            <w:r>
              <w:rPr/>
              <w:t>Change in fair value of convertible promissory notes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(7,563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050" w:type="dxa"/>
            <w:tcBorders/>
            <w:shd w:fill="FFFFFF" w:val="clear"/>
            <w:vAlign w:val="center"/>
          </w:tcPr>
          <w:p>
            <w:pPr>
              <w:pStyle w:val="TableContents"/>
              <w:bidi w:val="0"/>
              <w:spacing w:before="0" w:after="283"/>
              <w:jc w:val="right"/>
              <w:rPr/>
            </w:pPr>
            <w:r>
              <w:rPr/>
              <w:t>7,563</w:t>
            </w:r>
          </w:p>
        </w:tc>
        <w:tc>
          <w:tcPr>
            <w:tcW w:w="95"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b/>
              </w:rPr>
            </w:pPr>
            <w:r>
              <w:rPr>
                <w:b/>
              </w:rPr>
              <w:t>4(c)(2)</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2861" w:type="dxa"/>
            <w:tcBorders/>
            <w:shd w:fill="CCEEFF" w:val="clear"/>
            <w:vAlign w:val="center"/>
          </w:tcPr>
          <w:p>
            <w:pPr>
              <w:pStyle w:val="TableContents"/>
              <w:bidi w:val="0"/>
              <w:spacing w:before="0" w:after="283"/>
              <w:jc w:val="left"/>
              <w:rPr/>
            </w:pPr>
            <w:r>
              <w:rPr/>
              <w:t>Loss on exchange of warrant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(3,320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2050" w:type="dxa"/>
            <w:tcBorders/>
            <w:shd w:fill="CCEEFF" w:val="clear"/>
            <w:vAlign w:val="center"/>
          </w:tcPr>
          <w:p>
            <w:pPr>
              <w:pStyle w:val="TableContents"/>
              <w:bidi w:val="0"/>
              <w:spacing w:before="0" w:after="283"/>
              <w:jc w:val="right"/>
              <w:rPr/>
            </w:pPr>
            <w:r>
              <w:rPr/>
              <w:t>3,320</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b/>
              </w:rPr>
            </w:pPr>
            <w:r>
              <w:rPr>
                <w:b/>
              </w:rPr>
              <w:t>4(c)(3)</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2861" w:type="dxa"/>
            <w:tcBorders/>
            <w:shd w:fill="FFFFFF" w:val="clear"/>
            <w:vAlign w:val="center"/>
          </w:tcPr>
          <w:p>
            <w:pPr>
              <w:pStyle w:val="TableContents"/>
              <w:bidi w:val="0"/>
              <w:spacing w:before="0" w:after="283"/>
              <w:jc w:val="left"/>
              <w:rPr/>
            </w:pPr>
            <w:r>
              <w:rPr/>
              <w:t>Loss on issuance of financial instruments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(585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050" w:type="dxa"/>
            <w:tcBorders/>
            <w:shd w:fill="FFFFFF" w:val="clear"/>
            <w:vAlign w:val="center"/>
          </w:tcPr>
          <w:p>
            <w:pPr>
              <w:pStyle w:val="TableContents"/>
              <w:bidi w:val="0"/>
              <w:spacing w:before="0" w:after="283"/>
              <w:jc w:val="right"/>
              <w:rPr/>
            </w:pPr>
            <w:r>
              <w:rPr/>
              <w:t>585</w:t>
            </w:r>
          </w:p>
        </w:tc>
        <w:tc>
          <w:tcPr>
            <w:tcW w:w="95"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b/>
              </w:rPr>
            </w:pPr>
            <w:r>
              <w:rPr>
                <w:b/>
              </w:rPr>
              <w:t>4(c)(4)</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2861" w:type="dxa"/>
            <w:tcBorders/>
            <w:shd w:fill="CCEEFF" w:val="clear"/>
            <w:vAlign w:val="center"/>
          </w:tcPr>
          <w:p>
            <w:pPr>
              <w:pStyle w:val="TableContents"/>
              <w:bidi w:val="0"/>
              <w:spacing w:before="0" w:after="283"/>
              <w:jc w:val="left"/>
              <w:rPr/>
            </w:pPr>
            <w:r>
              <w:rPr/>
              <w:t>Loss on extinguishment of long-term debt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20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(2,157</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2861" w:type="dxa"/>
            <w:tcBorders/>
            <w:shd w:fill="FFFFFF" w:val="clear"/>
            <w:vAlign w:val="center"/>
          </w:tcPr>
          <w:p>
            <w:pPr>
              <w:pStyle w:val="TableContents"/>
              <w:bidi w:val="0"/>
              <w:spacing w:before="0" w:after="283"/>
              <w:jc w:val="left"/>
              <w:rPr/>
            </w:pPr>
            <w:r>
              <w:rPr/>
              <w:t>Change in fair value of long-term debt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(1,554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FFFFFF" w:val="clear"/>
            <w:tcMar>
              <w:bottom w:w="28" w:type="dxa"/>
            </w:tcMar>
            <w:vAlign w:val="center"/>
          </w:tcPr>
          <w:p>
            <w:pPr>
              <w:pStyle w:val="TableContents"/>
              <w:bidi w:val="0"/>
              <w:spacing w:before="0" w:after="283"/>
              <w:jc w:val="right"/>
              <w:rPr/>
            </w:pPr>
            <w:r>
              <w:rPr/>
              <w:t>(1,554</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2861" w:type="dxa"/>
            <w:tcBorders/>
            <w:shd w:fill="CCEEFF" w:val="clear"/>
            <w:vAlign w:val="center"/>
          </w:tcPr>
          <w:p>
            <w:pPr>
              <w:pStyle w:val="TableContents"/>
              <w:bidi w:val="0"/>
              <w:spacing w:before="0" w:after="283"/>
              <w:jc w:val="left"/>
              <w:rPr/>
            </w:pPr>
            <w:r>
              <w:rPr/>
              <w:t>Total other (expense) income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10,536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(19,209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50" w:type="dxa"/>
            <w:tcBorders>
              <w:bottom w:val="single" w:sz="12" w:space="0" w:color="000000"/>
            </w:tcBorders>
            <w:shd w:fill="CCEEFF" w:val="clear"/>
            <w:tcMar>
              <w:bottom w:w="28" w:type="dxa"/>
            </w:tcMar>
            <w:vAlign w:val="center"/>
          </w:tcPr>
          <w:p>
            <w:pPr>
              <w:pStyle w:val="TableContents"/>
              <w:bidi w:val="0"/>
              <w:spacing w:before="0" w:after="283"/>
              <w:jc w:val="right"/>
              <w:rPr/>
            </w:pPr>
            <w:r>
              <w:rPr/>
              <w:t>3,289</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CCEEFF" w:val="clear"/>
            <w:tcMar>
              <w:bottom w:w="28" w:type="dxa"/>
            </w:tcMar>
            <w:vAlign w:val="center"/>
          </w:tcPr>
          <w:p>
            <w:pPr>
              <w:pStyle w:val="TableContents"/>
              <w:bidi w:val="0"/>
              <w:spacing w:before="0" w:after="283"/>
              <w:jc w:val="right"/>
              <w:rPr/>
            </w:pPr>
            <w:r>
              <w:rPr/>
              <w:t>(5,384</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2861" w:type="dxa"/>
            <w:tcBorders/>
            <w:shd w:fill="FFFFFF" w:val="clear"/>
            <w:vAlign w:val="center"/>
          </w:tcPr>
          <w:p>
            <w:pPr>
              <w:pStyle w:val="TableContents"/>
              <w:bidi w:val="0"/>
              <w:spacing w:before="0" w:after="283"/>
              <w:jc w:val="left"/>
              <w:rPr/>
            </w:pPr>
            <w:r>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6,008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(74,728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050" w:type="dxa"/>
            <w:tcBorders/>
            <w:shd w:fill="FFFFFF" w:val="clear"/>
            <w:vAlign w:val="center"/>
          </w:tcPr>
          <w:p>
            <w:pPr>
              <w:pStyle w:val="TableContents"/>
              <w:bidi w:val="0"/>
              <w:spacing w:before="0" w:after="283"/>
              <w:jc w:val="right"/>
              <w:rPr/>
            </w:pPr>
            <w:r>
              <w:rPr/>
              <w:t>1,923</w:t>
            </w:r>
          </w:p>
        </w:tc>
        <w:tc>
          <w:tcPr>
            <w:tcW w:w="95"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(66,797</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2861"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2861"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6,008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(74,778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050" w:type="dxa"/>
            <w:tcBorders/>
            <w:shd w:fill="FFFFFF" w:val="clear"/>
            <w:vAlign w:val="center"/>
          </w:tcPr>
          <w:p>
            <w:pPr>
              <w:pStyle w:val="TableContents"/>
              <w:bidi w:val="0"/>
              <w:spacing w:before="0" w:after="283"/>
              <w:jc w:val="right"/>
              <w:rPr/>
            </w:pPr>
            <w:r>
              <w:rPr/>
              <w:t>1,923</w:t>
            </w:r>
          </w:p>
        </w:tc>
        <w:tc>
          <w:tcPr>
            <w:tcW w:w="95"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(66,847</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2861" w:type="dxa"/>
            <w:tcBorders/>
            <w:shd w:fill="CCEEFF" w:val="clear"/>
            <w:vAlign w:val="center"/>
          </w:tcPr>
          <w:p>
            <w:pPr>
              <w:pStyle w:val="TableContents"/>
              <w:bidi w:val="0"/>
              <w:spacing w:before="0" w:after="283"/>
              <w:jc w:val="left"/>
              <w:rPr/>
            </w:pPr>
            <w:r>
              <w:rPr/>
              <w:t>Deemed dividend on exchange of 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(345,717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2050" w:type="dxa"/>
            <w:tcBorders/>
            <w:shd w:fill="CCEEFF" w:val="clear"/>
            <w:vAlign w:val="center"/>
          </w:tcPr>
          <w:p>
            <w:pPr>
              <w:pStyle w:val="TableContents"/>
              <w:bidi w:val="0"/>
              <w:spacing w:before="0" w:after="283"/>
              <w:jc w:val="right"/>
              <w:rPr/>
            </w:pPr>
            <w:r>
              <w:rPr/>
              <w:t>345,717</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b/>
              </w:rPr>
            </w:pPr>
            <w:r>
              <w:rPr>
                <w:b/>
              </w:rPr>
              <w:t>4(d)(1)</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2861" w:type="dxa"/>
            <w:tcBorders/>
            <w:shd w:fill="FFFFFF" w:val="clear"/>
            <w:vAlign w:val="center"/>
          </w:tcPr>
          <w:p>
            <w:pPr>
              <w:pStyle w:val="TableContents"/>
              <w:bidi w:val="0"/>
              <w:spacing w:before="0" w:after="283"/>
              <w:jc w:val="left"/>
              <w:rPr/>
            </w:pPr>
            <w:r>
              <w:rPr/>
              <w:t>Cumulative Series A Preferred Stock dividends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50" w:type="dxa"/>
            <w:tcBorders>
              <w:bottom w:val="single" w:sz="12" w:space="0" w:color="000000"/>
            </w:tcBorders>
            <w:shd w:fill="FFFFFF" w:val="clear"/>
            <w:tcMar>
              <w:bottom w:w="28" w:type="dxa"/>
            </w:tcMar>
            <w:vAlign w:val="center"/>
          </w:tcPr>
          <w:p>
            <w:pPr>
              <w:pStyle w:val="TableContents"/>
              <w:bidi w:val="0"/>
              <w:spacing w:before="0" w:after="283"/>
              <w:jc w:val="right"/>
              <w:rPr/>
            </w:pPr>
            <w:r>
              <w:rPr/>
              <w:t>(31,270</w:t>
            </w:r>
          </w:p>
        </w:tc>
        <w:tc>
          <w:tcPr>
            <w:tcW w:w="95" w:type="dxa"/>
            <w:tcBorders/>
            <w:shd w:fill="FFFFFF" w:val="clear"/>
            <w:vAlign w:val="center"/>
          </w:tcPr>
          <w:p>
            <w:pPr>
              <w:pStyle w:val="TableContents"/>
              <w:bidi w:val="0"/>
              <w:spacing w:before="0" w:after="283"/>
              <w:jc w:val="left"/>
              <w:rPr/>
            </w:pPr>
            <w:r>
              <w:rPr/>
              <w:t>)</w:t>
            </w:r>
          </w:p>
        </w:tc>
        <w:tc>
          <w:tcPr>
            <w:tcW w:w="328" w:type="dxa"/>
            <w:tcBorders/>
            <w:shd w:fill="FFFFFF" w:val="clear"/>
            <w:vAlign w:val="center"/>
          </w:tcPr>
          <w:p>
            <w:pPr>
              <w:pStyle w:val="TableContents"/>
              <w:bidi w:val="0"/>
              <w:spacing w:before="0" w:after="283"/>
              <w:jc w:val="left"/>
              <w:rPr>
                <w:b/>
              </w:rPr>
            </w:pPr>
            <w:r>
              <w:rPr>
                <w:b/>
              </w:rPr>
              <w:t>4(d)(2)</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FFFFFF" w:val="clear"/>
            <w:tcMar>
              <w:bottom w:w="28" w:type="dxa"/>
            </w:tcMar>
            <w:vAlign w:val="center"/>
          </w:tcPr>
          <w:p>
            <w:pPr>
              <w:pStyle w:val="TableContents"/>
              <w:bidi w:val="0"/>
              <w:spacing w:before="0" w:after="283"/>
              <w:jc w:val="right"/>
              <w:rPr/>
            </w:pPr>
            <w:r>
              <w:rPr/>
              <w:t>(31,270</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2861" w:type="dxa"/>
            <w:tcBorders/>
            <w:shd w:fill="CCEEFF" w:val="clear"/>
            <w:vAlign w:val="center"/>
          </w:tcPr>
          <w:p>
            <w:pPr>
              <w:pStyle w:val="TableContents"/>
              <w:bidi w:val="0"/>
              <w:spacing w:before="0" w:after="283"/>
              <w:jc w:val="left"/>
              <w:rPr/>
            </w:pPr>
            <w:r>
              <w:rPr/>
              <w:t>Net (loss) income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6,008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pPr>
            <w:r>
              <w:rPr/>
              <w:t>(420,495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50" w:type="dxa"/>
            <w:tcBorders>
              <w:bottom w:val="double" w:sz="10" w:space="0" w:color="000000"/>
            </w:tcBorders>
            <w:shd w:fill="CCEEFF" w:val="clear"/>
            <w:tcMar>
              <w:bottom w:w="28" w:type="dxa"/>
            </w:tcMar>
            <w:vAlign w:val="center"/>
          </w:tcPr>
          <w:p>
            <w:pPr>
              <w:pStyle w:val="TableContents"/>
              <w:bidi w:val="0"/>
              <w:spacing w:before="0" w:after="283"/>
              <w:jc w:val="right"/>
              <w:rPr/>
            </w:pPr>
            <w:r>
              <w:rPr/>
              <w:t>316,370</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3" w:type="dxa"/>
            <w:tcBorders>
              <w:bottom w:val="double" w:sz="10" w:space="0" w:color="000000"/>
            </w:tcBorders>
            <w:shd w:fill="CCEEFF" w:val="clear"/>
            <w:tcMar>
              <w:bottom w:w="28" w:type="dxa"/>
            </w:tcMar>
            <w:vAlign w:val="center"/>
          </w:tcPr>
          <w:p>
            <w:pPr>
              <w:pStyle w:val="TableContents"/>
              <w:bidi w:val="0"/>
              <w:spacing w:before="0" w:after="283"/>
              <w:jc w:val="right"/>
              <w:rPr/>
            </w:pPr>
            <w:r>
              <w:rPr/>
              <w:t>(98,117</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2861" w:type="dxa"/>
            <w:tcBorders/>
            <w:shd w:fill="FFFFFF" w:val="clear"/>
            <w:vAlign w:val="center"/>
          </w:tcPr>
          <w:p>
            <w:pPr>
              <w:pStyle w:val="TableContents"/>
              <w:bidi w:val="0"/>
              <w:spacing w:before="0" w:after="283"/>
              <w:jc w:val="left"/>
              <w:rPr/>
            </w:pPr>
            <w:r>
              <w:rPr/>
              <w:t>Net (loss) income per share: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0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2861" w:type="dxa"/>
            <w:tcBorders/>
            <w:shd w:fill="CCEEFF" w:val="clear"/>
            <w:vAlign w:val="center"/>
          </w:tcPr>
          <w:p>
            <w:pPr>
              <w:pStyle w:val="TableContents"/>
              <w:bidi w:val="0"/>
              <w:spacing w:before="0" w:after="283"/>
              <w:jc w:val="left"/>
              <w:rPr/>
            </w:pPr>
            <w:r>
              <w:rPr/>
              <w:t>Basic and diluted, Class A</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(80.68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2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(1.17</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2861" w:type="dxa"/>
            <w:tcBorders/>
            <w:shd w:fill="FFFFFF" w:val="clear"/>
            <w:vAlign w:val="center"/>
          </w:tcPr>
          <w:p>
            <w:pPr>
              <w:pStyle w:val="TableContents"/>
              <w:bidi w:val="0"/>
              <w:spacing w:before="0" w:after="283"/>
              <w:jc w:val="left"/>
              <w:rPr/>
            </w:pPr>
            <w:r>
              <w:rPr/>
              <w:t>Basic and diluted, Class B</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15" w:type="dxa"/>
            <w:tcBorders/>
            <w:shd w:fill="FFFFFF" w:val="clear"/>
            <w:vAlign w:val="center"/>
          </w:tcPr>
          <w:p>
            <w:pPr>
              <w:pStyle w:val="TableContents"/>
              <w:bidi w:val="0"/>
              <w:spacing w:before="0" w:after="283"/>
              <w:jc w:val="right"/>
              <w:rPr/>
            </w:pPr>
            <w:r>
              <w:rPr/>
              <w:t>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0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2861" w:type="dxa"/>
            <w:tcBorders/>
            <w:shd w:fill="CCEEFF" w:val="clear"/>
            <w:vAlign w:val="center"/>
          </w:tcPr>
          <w:p>
            <w:pPr>
              <w:pStyle w:val="TableContents"/>
              <w:bidi w:val="0"/>
              <w:spacing w:before="0" w:after="283"/>
              <w:jc w:val="left"/>
              <w:rPr/>
            </w:pPr>
            <w:r>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2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2861" w:type="dxa"/>
            <w:tcBorders/>
            <w:shd w:fill="FFFFFF" w:val="clear"/>
            <w:vAlign w:val="center"/>
          </w:tcPr>
          <w:p>
            <w:pPr>
              <w:pStyle w:val="TableContents"/>
              <w:bidi w:val="0"/>
              <w:spacing w:before="0" w:after="283"/>
              <w:jc w:val="left"/>
              <w:rPr/>
            </w:pPr>
            <w:r>
              <w:rPr/>
              <w:t>Basic and diluted, Class A</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25,425,000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5,211,618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0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84,134,682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2861" w:type="dxa"/>
            <w:tcBorders/>
            <w:shd w:fill="CCEEFF" w:val="clear"/>
            <w:vAlign w:val="center"/>
          </w:tcPr>
          <w:p>
            <w:pPr>
              <w:pStyle w:val="TableContents"/>
              <w:bidi w:val="0"/>
              <w:spacing w:before="0" w:after="283"/>
              <w:jc w:val="left"/>
              <w:rPr/>
            </w:pPr>
            <w:r>
              <w:rPr/>
              <w:t>Basic and diluted, Class B</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8,333,333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2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CONDENSED COMBINED FINANCIAL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DESCRIPTION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Inflection Point, Merlin and Merger Sub entered into the Business Combination Agreement, under the terms of which (i) at least one day prior to Closing, Inflection Point domesticated as a Delaware corporation, and (ii) at Closing, Merger Sub merged with and into Merlin, with Merlin surviving the Merger as a wholly-owned subsidiary of Inflection Point, resulting in a combined company whereby Merlin is a wholly-owned subsidiary of New Merlin. On March 13, 2026, the Merger was approved by an Inflection Point shareholder vote. The Merger was completed on March 16, 2026. After giving effect to the Merger, New Merlin owns, directly or indirectly, all of the issued and outstanding equity interests of Merlin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Domestication, all outstanding Inflection Point Class B Shares converted on a one-to-one basis to Inflection Point Class A Shares. Upon the Domestication, all outstanding Inflection Point Class A Shares converted on a one-to-one basis into shares of New Merlin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Merger, all existing warrants to purchase shares of Merlin Common Stock and warrants to purchase shares of Merlin redeemable convertible preferred stock (except the Pre-Funded Convertible Warrants) were exercised on a cashless basis. Further, all shares of Merlin redeemable convertible preferred stock (including shares received from exercised warrants) converted into shares of Merlin Common Stock. As a result, immediately prior to the Merger, the only Merlin equity instruments outstanding were shares of common stock and stock options issued to employees as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contemplated by the Business Combination Agreement, on July 2, 2025, and on August 13, 2025, Merlin entered into the Signing Pre-Funded PIPE Agreements with Pre-Funded Investors. Pursuant to the Signing Pre-Funded PIPE Agreements, the Pre-Funded Investors agreed, among other things, to purchase, and Merlin issued and sold, an aggregate of approximately $87,704 of Pre-Funded Convertible Notes and Pre-Funded Convertible Warrants, substantially concurrently with the execution and delivery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the consideration paid in, or in connection with, the Merger to each holder of a Pre-Funded Convertible Note was a number of shares of Series A Preferred Stock equal to the quotient, rounded up to the nearest whole share, of (i) the total outstanding principal and accrued and unpaid interest on each Pre-Funded Convertible Note as of one day prior to the Closing, divided by (ii) $10.20 (with respect to the Pre-Funded Convertible Notes sold pursuant to the Pre-Funded NPAs), as may be adjusted pursuant to the terms and conditions of such Pre-Funded Convertible Notes, or $12.00 (with respect to the Pre-Funded Convertible Notes sold pursuant to the Pre-Funded SPAs). The consideration paid in, or in connection with, the Merger to a holder in respect of each Pre-Funded Convertible Warrant was one or more New Merlin Series A Warrants to purchase a number of shares of New Merlin Common Stock (on otherwise the same terms as applicable to the New Merlin Series A Warrants issued to the Series A Preferred Stock Investors in the Series A Preferred Stock Investment (each as defined below)) equal to the quotient of (i) the aggregate exercise price of such Pre-Funded Warrant immediately prior to the Effective Time, divided by (ii) $12.00.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connection with the transactions contemplated by the Business Combination Agreement, on August 13, 2025, and November 17, 2025, Inflection Point, Merlin and certain investors entered into the Signing Series A SPA and Additional Series A SPAs (collectively, “</w:t>
      </w:r>
      <w:r>
        <w:rPr>
          <w:rFonts w:ascii="Times New Roman;Times;Serif" w:hAnsi="Times New Roman;Times;Serif"/>
          <w:b/>
          <w:i w:val="false"/>
          <w:caps w:val="false"/>
          <w:smallCaps w:val="false"/>
          <w:sz w:val="20"/>
        </w:rPr>
        <w:t>Series A SPAs</w:t>
      </w:r>
      <w:r>
        <w:rPr>
          <w:rFonts w:ascii="Times New Roman;Times;Serif" w:hAnsi="Times New Roman;Times;Serif"/>
          <w:b w:val="false"/>
          <w:i w:val="false"/>
          <w:caps w:val="false"/>
          <w:smallCaps w:val="false"/>
          <w:sz w:val="20"/>
        </w:rPr>
        <w:t>”). Pursuant to the Series A SPAs, the Closing PIPE Investor and Additional Closing PIPE Investors agreed, among other things, to purchase, at Closing, an aggregate of 11,470,590 shares of New Merlin Series A Preferred Stock and New Merlin Series A Warrants, for an aggregate purchase price of $120,000. In aggregate, the Pre-Funded Investors, the Closing PIPE Investor, and the Additional Closing PIPE Investors (collectively, “</w:t>
      </w:r>
      <w:r>
        <w:rPr>
          <w:rFonts w:ascii="Times New Roman;Times;Serif" w:hAnsi="Times New Roman;Times;Serif"/>
          <w:b/>
          <w:i w:val="false"/>
          <w:caps w:val="false"/>
          <w:smallCaps w:val="false"/>
          <w:sz w:val="20"/>
        </w:rPr>
        <w:t>PIPE Investors</w:t>
      </w:r>
      <w:r>
        <w:rPr>
          <w:rFonts w:ascii="Times New Roman;Times;Serif" w:hAnsi="Times New Roman;Times;Serif"/>
          <w:b w:val="false"/>
          <w:i w:val="false"/>
          <w:caps w:val="false"/>
          <w:smallCaps w:val="false"/>
          <w:sz w:val="20"/>
        </w:rPr>
        <w:t>”) received 21,715,451 shares of Series A Preferred Stock and New Merlin Series A Warrants to purchase an aggregate of 21,157,300 shares of New Merlin Common Stock in exchange for an aggregate commitment of $207,704.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holders of the Merlin Common Stock received shares of New Merlin Common Stock based on the Exchange Ratio. The holders of Merlin Options, issued under employee incentive plans, received New Merlin Options, based on the Exchange Ratio, and are subject to the same vesting restrictions as the Merlin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the Post-Domestication Rights automatically converted ten-to-one to shares of New Merlin Common Stock. Fractional shares were rounded down to the nearest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pro forma shares outstanding of New Merlin Common Stock and Series A Preferred Stock, on an as-converted basis as of the Closing, excluding the potential dilutive effect of warrants to purchase shares of New Merlin Common Stock and the New Merlin Options:</w:t>
      </w:r>
    </w:p>
    <w:p>
      <w:pPr>
        <w:pStyle w:val="TextBody"/>
        <w:bidi w:val="0"/>
        <w:spacing w:before="0" w:after="0"/>
        <w:ind w:left="0" w:right="0" w:hanging="0"/>
        <w:jc w:val="both"/>
        <w:rPr>
          <w:caps w:val="false"/>
          <w:smallCaps w:val="false"/>
        </w:rPr>
      </w:pPr>
      <w:r>
        <w:rPr>
          <w:caps w:val="false"/>
          <w:smallCaps w:val="false"/>
        </w:rPr>
        <w:t> </w:t>
      </w:r>
    </w:p>
    <w:tbl>
      <w:tblPr>
        <w:tblW w:w="5915" w:type="dxa"/>
        <w:jc w:val="left"/>
        <w:tblInd w:w="0" w:type="dxa"/>
        <w:tblLayout w:type="fixed"/>
        <w:tblCellMar>
          <w:top w:w="0" w:type="dxa"/>
          <w:left w:w="0" w:type="dxa"/>
          <w:bottom w:w="0" w:type="dxa"/>
          <w:right w:w="0" w:type="dxa"/>
        </w:tblCellMar>
      </w:tblPr>
      <w:tblGrid>
        <w:gridCol w:w="2780"/>
        <w:gridCol w:w="60"/>
        <w:gridCol w:w="60"/>
        <w:gridCol w:w="1220"/>
        <w:gridCol w:w="60"/>
        <w:gridCol w:w="60"/>
        <w:gridCol w:w="139"/>
        <w:gridCol w:w="1306"/>
        <w:gridCol w:w="230"/>
      </w:tblGrid>
      <w:tr>
        <w:trPr/>
        <w:tc>
          <w:tcPr>
            <w:tcW w:w="278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Ownership</w:t>
            </w:r>
          </w:p>
        </w:tc>
        <w:tc>
          <w:tcPr>
            <w:tcW w:w="230" w:type="dxa"/>
            <w:tcBorders/>
            <w:vAlign w:val="center"/>
          </w:tcPr>
          <w:p>
            <w:pPr>
              <w:pStyle w:val="TableContents"/>
              <w:bidi w:val="0"/>
              <w:spacing w:before="0" w:after="283"/>
              <w:ind w:left="0" w:right="0" w:hanging="180"/>
              <w:jc w:val="left"/>
              <w:rPr/>
            </w:pPr>
            <w:r>
              <w:rPr/>
              <w:t> </w:t>
            </w:r>
          </w:p>
        </w:tc>
      </w:tr>
      <w:tr>
        <w:trPr/>
        <w:tc>
          <w:tcPr>
            <w:tcW w:w="2780" w:type="dxa"/>
            <w:tcBorders/>
            <w:shd w:fill="CCEEFF" w:val="clear"/>
            <w:vAlign w:val="center"/>
          </w:tcPr>
          <w:p>
            <w:pPr>
              <w:pStyle w:val="TableContents"/>
              <w:bidi w:val="0"/>
              <w:spacing w:before="0" w:after="283"/>
              <w:jc w:val="left"/>
              <w:rPr/>
            </w:pPr>
            <w:r>
              <w:rPr/>
              <w:t>Public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2,449,449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2.3</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780" w:type="dxa"/>
            <w:tcBorders/>
            <w:shd w:fill="FFFFFF" w:val="clear"/>
            <w:vAlign w:val="center"/>
          </w:tcPr>
          <w:p>
            <w:pPr>
              <w:pStyle w:val="TableContents"/>
              <w:bidi w:val="0"/>
              <w:spacing w:before="0" w:after="283"/>
              <w:jc w:val="left"/>
              <w:rPr/>
            </w:pPr>
            <w:r>
              <w:rPr/>
              <w:t>Public Rightsholders*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2,499,999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2.4</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780" w:type="dxa"/>
            <w:tcBorders/>
            <w:shd w:fill="CCEEFF" w:val="clear"/>
            <w:vAlign w:val="center"/>
          </w:tcPr>
          <w:p>
            <w:pPr>
              <w:pStyle w:val="TableContents"/>
              <w:bidi w:val="0"/>
              <w:spacing w:before="0" w:after="283"/>
              <w:jc w:val="left"/>
              <w:rPr>
                <w:sz w:val="20"/>
              </w:rPr>
            </w:pPr>
            <w:r>
              <w:rPr>
                <w:sz w:val="20"/>
              </w:rPr>
              <w:t>Sponsor</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8,800,833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8.3</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780" w:type="dxa"/>
            <w:tcBorders/>
            <w:shd w:fill="FFFFFF" w:val="clear"/>
            <w:vAlign w:val="center"/>
          </w:tcPr>
          <w:p>
            <w:pPr>
              <w:pStyle w:val="TableContents"/>
              <w:bidi w:val="0"/>
              <w:spacing w:before="0" w:after="283"/>
              <w:jc w:val="left"/>
              <w:rPr>
                <w:sz w:val="20"/>
              </w:rPr>
            </w:pPr>
            <w:r>
              <w:rPr>
                <w:sz w:val="20"/>
              </w:rPr>
              <w:t>Series A Holders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21,715,451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20.5</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780" w:type="dxa"/>
            <w:tcBorders/>
            <w:shd w:fill="CCEEFF" w:val="clear"/>
            <w:vAlign w:val="center"/>
          </w:tcPr>
          <w:p>
            <w:pPr>
              <w:pStyle w:val="TableContents"/>
              <w:bidi w:val="0"/>
              <w:spacing w:before="0" w:after="283"/>
              <w:jc w:val="left"/>
              <w:rPr>
                <w:sz w:val="20"/>
              </w:rPr>
            </w:pPr>
            <w:r>
              <w:rPr>
                <w:sz w:val="20"/>
              </w:rPr>
              <w:t>Merlin Stockholders</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70,512,611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center"/>
          </w:tcPr>
          <w:p>
            <w:pPr>
              <w:pStyle w:val="TableContents"/>
              <w:bidi w:val="0"/>
              <w:spacing w:before="0" w:after="283"/>
              <w:jc w:val="right"/>
              <w:rPr/>
            </w:pPr>
            <w:r>
              <w:rPr/>
              <w:t>66.5</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78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105,978,343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2780" w:type="dxa"/>
            <w:tcBorders/>
            <w:shd w:fill="FFFFFF" w:val="clear"/>
            <w:vAlign w:val="center"/>
          </w:tcPr>
          <w:p>
            <w:pPr>
              <w:pStyle w:val="TableContents"/>
              <w:bidi w:val="0"/>
              <w:spacing w:before="0" w:after="283"/>
              <w:jc w:val="left"/>
              <w:rPr>
                <w:i/>
              </w:rPr>
            </w:pPr>
            <w:r>
              <w:rPr>
                <w:i/>
              </w:rPr>
              <w:t>Potential Sources of Dilution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2780" w:type="dxa"/>
            <w:tcBorders/>
            <w:shd w:fill="CCEEFF" w:val="clear"/>
            <w:vAlign w:val="center"/>
          </w:tcPr>
          <w:p>
            <w:pPr>
              <w:pStyle w:val="TableContents"/>
              <w:bidi w:val="0"/>
              <w:spacing w:before="0" w:after="283"/>
              <w:jc w:val="left"/>
              <w:rPr>
                <w:sz w:val="20"/>
              </w:rPr>
            </w:pPr>
            <w:r>
              <w:rPr>
                <w:sz w:val="20"/>
              </w:rPr>
              <w:t>New Merlin Series A Warrants</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21,157,300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20.0</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780" w:type="dxa"/>
            <w:tcBorders/>
            <w:shd w:fill="FFFFFF" w:val="clear"/>
            <w:vAlign w:val="center"/>
          </w:tcPr>
          <w:p>
            <w:pPr>
              <w:pStyle w:val="TableContents"/>
              <w:bidi w:val="0"/>
              <w:spacing w:before="0" w:after="283"/>
              <w:jc w:val="left"/>
              <w:rPr>
                <w:sz w:val="20"/>
              </w:rPr>
            </w:pPr>
            <w:r>
              <w:rPr>
                <w:sz w:val="20"/>
              </w:rPr>
              <w:t>New Merlin Options</w:t>
            </w:r>
            <w:r>
              <w:rPr>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7,631,497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7.2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14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pPr>
            <w:r>
              <w:rPr/>
              <w:t>Rounded to account for units held in multiples of less than ten.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283"/>
              <w:jc w:val="both"/>
              <w:rPr/>
            </w:pPr>
            <w:r>
              <w:rPr/>
              <w:t>Consists of (i) 8,333,333 shares of New Merlin Common Stock issued upon conversion of Founder Shares, (ii) 425,000 shares of New Merlin Common Stock issued upon conversion of Inflection Class A Shares not subject to redemption, and (iii) 42,500 shares of New Merlin Common Stock, in exchange for 425,000 Private Placement Units.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both"/>
              <w:rPr/>
            </w:pPr>
            <w:r>
              <w:rPr/>
              <w:t>Consists of (i) 9,204,084 shares of Series A Preferred Stock issued upon conversion of Pre-Funded Convertible Notes sold in the Pre-Funded Note Investment, (ii) 1,040,777 shares of Series A Preferred Stock issued upon conversion of the 2024 LSA Warrants and the 2024 LSA Amendment Warrants issued to WTI FUND X, LLC, and (iii) 11,470,590 shares of Series A Preferred Stock issued pursuant to the Series A SPAs.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283"/>
              <w:jc w:val="both"/>
              <w:rPr/>
            </w:pPr>
            <w:r>
              <w:rPr/>
              <w:t>Based on the Purchase Price, $800,000, divided by the estimated per-share Redemption Price of approximately $10.49 per share from the Trust Account based on funds in the Trust Account as of December 31, 2025. The Redemption Price is expected to continue to increase prior to Closing, which will result in the Aggregate Consideration being a reduced number of shares of New Merlin Common Stock. Excludes shares of New Merlin Common Stock that would be issuable upon exercise of the New Merlin Options that will be outstanding as a result of New Merlin’s assumption of the outstanding Merlin Options.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(4)</w:t>
            </w:r>
          </w:p>
        </w:tc>
        <w:tc>
          <w:tcPr>
            <w:tcW w:w="9934" w:type="dxa"/>
            <w:tcBorders/>
            <w:vAlign w:val="center"/>
          </w:tcPr>
          <w:p>
            <w:pPr>
              <w:pStyle w:val="TableContents"/>
              <w:bidi w:val="0"/>
              <w:spacing w:before="0" w:after="283"/>
              <w:jc w:val="both"/>
              <w:rPr/>
            </w:pPr>
            <w:r>
              <w:rPr/>
              <w:t>Consists of (i) New Merlin Series A Warrants exercisable for an aggregate of 10,103,376 shares of New Merlin Common Stock issuable in exchange for Pre-Funded Warrants exercisable for 10,103,376 shares of Merlin Common Stock, (ii) New Merlin Series A Warrants exercisable for 11,053,924 shares of New Merlin Common Stock to be issued pursuant to the Series A SPA.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(5)</w:t>
            </w:r>
          </w:p>
        </w:tc>
        <w:tc>
          <w:tcPr>
            <w:tcW w:w="9945" w:type="dxa"/>
            <w:tcBorders/>
            <w:vAlign w:val="center"/>
          </w:tcPr>
          <w:p>
            <w:pPr>
              <w:pStyle w:val="TableContents"/>
              <w:bidi w:val="0"/>
              <w:spacing w:before="0" w:after="283"/>
              <w:jc w:val="both"/>
              <w:rPr/>
            </w:pPr>
            <w:r>
              <w:rPr/>
              <w:t>Consists of 7,631,497 options to purchase New Merlin Common Stock issued in exchange for 2,460,597 options to purchase Merlin Common Stock (“Merlin Options”), based on an expected Exchange Ratio of approximately 3.1015. The New Merlin Options have a weighted-average exercise price of $3.30, based on the weighted-average exercise price of Merlin Options divided by an expected Exchange Ratio of approximately 3.1015. The vesting requirements of the New Merlin Options are identical to those of the exchanged Merlin Options (i.e., generally vest over a four year period and expire not more than 10 years from grant). Includes 5,108,562 New Merlin Options exercisable as of December 31, 2025, with a weighted-average exercise price of $1.53, based on the weighted-average exercise price of Merlin Options divided by an expected Exchange Ratio of approximately 3.1015.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pro forma shares outstanding of New Merlin Common Stock on a fully diluted basis as of the Closing Date, assuming the exercise of all New Merlin Series A Warrants to purchase shares of New Merlin Common Stock and the vesting and exercise of all New Merlin Options:</w:t>
      </w:r>
    </w:p>
    <w:p>
      <w:pPr>
        <w:pStyle w:val="TextBody"/>
        <w:bidi w:val="0"/>
        <w:spacing w:before="0" w:after="0"/>
        <w:ind w:left="0" w:right="0" w:hanging="0"/>
        <w:jc w:val="both"/>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2120"/>
        <w:gridCol w:w="60"/>
        <w:gridCol w:w="60"/>
        <w:gridCol w:w="1220"/>
        <w:gridCol w:w="60"/>
        <w:gridCol w:w="60"/>
        <w:gridCol w:w="139"/>
        <w:gridCol w:w="1306"/>
        <w:gridCol w:w="230"/>
      </w:tblGrid>
      <w:tr>
        <w:trPr/>
        <w:tc>
          <w:tcPr>
            <w:tcW w:w="21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Ownership</w:t>
            </w:r>
          </w:p>
        </w:tc>
        <w:tc>
          <w:tcPr>
            <w:tcW w:w="230" w:type="dxa"/>
            <w:tcBorders/>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Public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2,449,449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1.8</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120" w:type="dxa"/>
            <w:tcBorders/>
            <w:shd w:fill="FFFFFF" w:val="clear"/>
            <w:vAlign w:val="center"/>
          </w:tcPr>
          <w:p>
            <w:pPr>
              <w:pStyle w:val="TableContents"/>
              <w:bidi w:val="0"/>
              <w:spacing w:before="0" w:after="283"/>
              <w:jc w:val="left"/>
              <w:rPr/>
            </w:pPr>
            <w:r>
              <w:rPr/>
              <w:t>Public Rightsholders*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2,499,999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1.9</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120" w:type="dxa"/>
            <w:tcBorders/>
            <w:shd w:fill="CCEEFF" w:val="clear"/>
            <w:vAlign w:val="center"/>
          </w:tcPr>
          <w:p>
            <w:pPr>
              <w:pStyle w:val="TableContents"/>
              <w:bidi w:val="0"/>
              <w:spacing w:before="0" w:after="283"/>
              <w:jc w:val="left"/>
              <w:rPr>
                <w:sz w:val="20"/>
              </w:rPr>
            </w:pPr>
            <w:r>
              <w:rPr>
                <w:sz w:val="20"/>
              </w:rPr>
              <w:t>Sponsor</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8,800,833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6.5</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120" w:type="dxa"/>
            <w:tcBorders/>
            <w:shd w:fill="FFFFFF" w:val="clear"/>
            <w:vAlign w:val="center"/>
          </w:tcPr>
          <w:p>
            <w:pPr>
              <w:pStyle w:val="TableContents"/>
              <w:bidi w:val="0"/>
              <w:spacing w:before="0" w:after="283"/>
              <w:jc w:val="left"/>
              <w:rPr>
                <w:sz w:val="20"/>
              </w:rPr>
            </w:pPr>
            <w:r>
              <w:rPr>
                <w:sz w:val="20"/>
              </w:rPr>
              <w:t>Series A Holders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42,872,751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31.8</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120" w:type="dxa"/>
            <w:tcBorders/>
            <w:shd w:fill="CCEEFF" w:val="clear"/>
            <w:vAlign w:val="center"/>
          </w:tcPr>
          <w:p>
            <w:pPr>
              <w:pStyle w:val="TableContents"/>
              <w:bidi w:val="0"/>
              <w:spacing w:before="0" w:after="283"/>
              <w:jc w:val="left"/>
              <w:rPr>
                <w:sz w:val="20"/>
              </w:rPr>
            </w:pPr>
            <w:r>
              <w:rPr>
                <w:sz w:val="20"/>
              </w:rPr>
              <w:t>Merlin Stockholders</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70,512,611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52.3</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120" w:type="dxa"/>
            <w:tcBorders/>
            <w:shd w:fill="FFFFFF" w:val="clear"/>
            <w:vAlign w:val="center"/>
          </w:tcPr>
          <w:p>
            <w:pPr>
              <w:pStyle w:val="TableContents"/>
              <w:bidi w:val="0"/>
              <w:spacing w:before="0" w:after="283"/>
              <w:jc w:val="left"/>
              <w:rPr>
                <w:sz w:val="20"/>
              </w:rPr>
            </w:pPr>
            <w:r>
              <w:rPr>
                <w:sz w:val="20"/>
              </w:rPr>
              <w:t>Merlin Option holders</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7,631,497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5.7</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12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134,767,140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14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pPr>
            <w:r>
              <w:rPr/>
              <w:t>Rounded to account for units held in multiples of less than ten.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283"/>
              <w:jc w:val="both"/>
              <w:rPr/>
            </w:pPr>
            <w:r>
              <w:rPr/>
              <w:t>Consists of (i) 8,333,333 shares of New Merlin Common Stock issued upon conversion of Founder Shares, (ii) 425,000 shares of New Merlin Common Stock issued upon conversion of Inflection Class A Shares not subject to redemption, and (iii) 42,500 shares of New Merlin Common Stock, in exchange for 425,000 Private Placement Units.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both"/>
              <w:rPr/>
            </w:pPr>
            <w:r>
              <w:rPr/>
              <w:t>Consists of (A) (i) 9,204,084 shares of Series A Preferred Stock issued upon conversion of Pre-Funded Convertible Notes sold in the Pre-Funded Note Investment (ii) 1,040,777 shares of Series A Preferred Stock issued upon conversion of the 2024 LSA Warrants and 2024 LSA Amendment Warrants issued to WTI FUND X, LLC, and (iii) 11,470,590 shares of Series A Preferred Stock issued pursuant to the Series A SPAs, plus (B) (i) New Merlin Series A Warrants exercisable for an aggregate of 10,103,376 shares of New Merlin Common Stock issuable in exchange for Pre-Funded Warrants exercisable for 10,103,376 shares of Merlin Common Stock, and (ii) New Merlin Series A Warrants exercisable for 11,053,924 shares of New Merlin Common Stock issued pursuant to the Series A SPAs.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283"/>
              <w:jc w:val="both"/>
              <w:rPr/>
            </w:pPr>
            <w:r>
              <w:rPr/>
              <w:t>Based on the Purchase Price, $800,000, divided by the estimated per-share Redemption Price of approximately $10.49 per share from the Trust Account based on funds in the Trust Account as of December 31, 2025. The Redemption Price is expected to continue to increase prior to Closing, which will result in the Aggregate Consideration being a reduced number of shares of New Merlin Common Stock. Excludes shares of New Merlin Common Stock that would be issuable upon exercise of the New Merlin Options that will be outstanding as a result of New Merlin assumption of the outstanding Merlin Options.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(4)</w:t>
            </w:r>
          </w:p>
        </w:tc>
        <w:tc>
          <w:tcPr>
            <w:tcW w:w="9913" w:type="dxa"/>
            <w:tcBorders/>
            <w:vAlign w:val="center"/>
          </w:tcPr>
          <w:p>
            <w:pPr>
              <w:pStyle w:val="TableContents"/>
              <w:bidi w:val="0"/>
              <w:spacing w:before="0" w:after="283"/>
              <w:jc w:val="both"/>
              <w:rPr/>
            </w:pPr>
            <w:r>
              <w:rPr/>
              <w:t>Consists of 7,631,497 options to purchase New Merlin Common Stock issued in exchange for 2,460,597 Merlin Options, based on an expected Exchange Ratio of approximately 3.1015.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Expected Accounting Treatment for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will be accounted for as a reverse capitalization, with no goodwill or other intangible assets recorded, in accordance with U.S. GAAP. Under this method of accounting, Inflection Point is the accounting acquiree, but does not meet the definition of a business under ASC 805. Accordingly, for accounting purposes, the Business Combination will be treated as the equivalent of Merlin issuing stock for the net assets of Inflection Point. The net assets of Inflection Point will be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preparation of these unaudited pro forma condensed combined financial statements, certain reclassifications were made to align Inflection Point’s and Merlin’s financial statement presentation. Upon consummation of the Business Combination, the management team of New Merlin (“</w:t>
      </w:r>
      <w:r>
        <w:rPr>
          <w:rFonts w:ascii="Times New Roman;Times;Serif" w:hAnsi="Times New Roman;Times;Serif"/>
          <w:b/>
          <w:i w:val="false"/>
          <w:caps w:val="false"/>
          <w:smallCaps w:val="false"/>
          <w:sz w:val="20"/>
        </w:rPr>
        <w:t>New Merlin Management</w:t>
      </w:r>
      <w:r>
        <w:rPr>
          <w:rFonts w:ascii="Times New Roman;Times;Serif" w:hAnsi="Times New Roman;Times;Serif"/>
          <w:b w:val="false"/>
          <w:i w:val="false"/>
          <w:caps w:val="false"/>
          <w:smallCaps w:val="false"/>
          <w:sz w:val="20"/>
        </w:rPr>
        <w:t>”) will perform a comprehensive review of Inflection Point’s and Merlin’s accounting policies. As a result of the review, New Merlin Management may identify differences between the accounting policies of the two entities which, when conformed, could have a material impact on the financial statements of New Merlin. Based on its initial analysis, Inflection Point has identified the presentation differences that would have an impact on the unaudited pro forma condensed financial information and recorded the necessary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as of December 31, 2025</w:t>
      </w:r>
    </w:p>
    <w:p>
      <w:pPr>
        <w:pStyle w:val="TextBody"/>
        <w:bidi w:val="0"/>
        <w:spacing w:before="0" w:after="0"/>
        <w:ind w:left="0" w:right="0" w:hanging="0"/>
        <w:jc w:val="both"/>
        <w:rPr>
          <w:caps w:val="false"/>
          <w:smallCaps w:val="false"/>
        </w:rPr>
      </w:pPr>
      <w:r>
        <w:rPr>
          <w:caps w:val="false"/>
          <w:smallCaps w:val="false"/>
        </w:rPr>
        <w:t> </w:t>
      </w:r>
    </w:p>
    <w:tbl>
      <w:tblPr>
        <w:tblW w:w="8684" w:type="dxa"/>
        <w:jc w:val="left"/>
        <w:tblInd w:w="0" w:type="dxa"/>
        <w:tblLayout w:type="fixed"/>
        <w:tblCellMar>
          <w:top w:w="0" w:type="dxa"/>
          <w:left w:w="0" w:type="dxa"/>
          <w:bottom w:w="28" w:type="dxa"/>
          <w:right w:w="0" w:type="dxa"/>
        </w:tblCellMar>
      </w:tblPr>
      <w:tblGrid>
        <w:gridCol w:w="353"/>
        <w:gridCol w:w="866"/>
        <w:gridCol w:w="60"/>
        <w:gridCol w:w="2750"/>
        <w:gridCol w:w="60"/>
        <w:gridCol w:w="4595"/>
      </w:tblGrid>
      <w:tr>
        <w:trPr/>
        <w:tc>
          <w:tcPr>
            <w:tcW w:w="1219"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60" w:type="dxa"/>
            <w:tcBorders/>
            <w:tcMar>
              <w:bottom w:w="0" w:type="dxa"/>
            </w:tcMar>
            <w:vAlign w:val="center"/>
          </w:tcPr>
          <w:p>
            <w:pPr>
              <w:pStyle w:val="TableContents"/>
              <w:bidi w:val="0"/>
              <w:spacing w:before="0" w:after="283"/>
              <w:jc w:val="left"/>
              <w:rPr/>
            </w:pPr>
            <w:r>
              <w:rPr/>
              <w:t> </w:t>
            </w:r>
          </w:p>
        </w:tc>
        <w:tc>
          <w:tcPr>
            <w:tcW w:w="275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 in Inflection Point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tc>
        <w:tc>
          <w:tcPr>
            <w:tcW w:w="60" w:type="dxa"/>
            <w:tcBorders/>
            <w:tcMar>
              <w:bottom w:w="0" w:type="dxa"/>
            </w:tcMar>
            <w:vAlign w:val="center"/>
          </w:tcPr>
          <w:p>
            <w:pPr>
              <w:pStyle w:val="TableContents"/>
              <w:bidi w:val="0"/>
              <w:spacing w:before="0" w:after="283"/>
              <w:jc w:val="left"/>
              <w:rPr/>
            </w:pPr>
            <w:r>
              <w:rPr/>
              <w:t> </w:t>
            </w:r>
          </w:p>
        </w:tc>
        <w:tc>
          <w:tcPr>
            <w:tcW w:w="4595" w:type="dxa"/>
            <w:tcBorders>
              <w:bottom w:val="single" w:sz="12" w:space="0" w:color="000000"/>
            </w:tcBorders>
            <w:vAlign w:val="center"/>
          </w:tcPr>
          <w:p>
            <w:pPr>
              <w:pStyle w:val="TableContents"/>
              <w:bidi w:val="0"/>
              <w:spacing w:before="0" w:after="283"/>
              <w:jc w:val="center"/>
              <w:rPr>
                <w:b/>
              </w:rPr>
            </w:pPr>
            <w:r>
              <w:rPr>
                <w:b/>
              </w:rPr>
              <w:t xml:space="preserve">Presentation in Unaudited Pro Forma </w:t>
              <w:br/>
              <w:t>Condensed Combined Financial Information</w:t>
            </w:r>
          </w:p>
        </w:tc>
      </w:tr>
      <w:tr>
        <w:trPr/>
        <w:tc>
          <w:tcPr>
            <w:tcW w:w="353" w:type="dxa"/>
            <w:tcBorders/>
            <w:shd w:fill="CCEEFF" w:val="clear"/>
            <w:tcMar>
              <w:bottom w:w="0" w:type="dxa"/>
            </w:tcMar>
            <w:vAlign w:val="center"/>
          </w:tcPr>
          <w:p>
            <w:pPr>
              <w:pStyle w:val="TableContents"/>
              <w:bidi w:val="0"/>
              <w:spacing w:before="0" w:after="283"/>
              <w:jc w:val="left"/>
              <w:rPr/>
            </w:pPr>
            <w:r>
              <w:rPr/>
              <w:t>$</w:t>
            </w:r>
          </w:p>
        </w:tc>
        <w:tc>
          <w:tcPr>
            <w:tcW w:w="866" w:type="dxa"/>
            <w:tcBorders/>
            <w:shd w:fill="CCEEFF" w:val="clear"/>
            <w:tcMar>
              <w:bottom w:w="0" w:type="dxa"/>
            </w:tcMar>
            <w:vAlign w:val="center"/>
          </w:tcPr>
          <w:p>
            <w:pPr>
              <w:pStyle w:val="TableContents"/>
              <w:bidi w:val="0"/>
              <w:spacing w:before="0" w:after="283"/>
              <w:jc w:val="right"/>
              <w:rPr/>
            </w:pPr>
            <w:r>
              <w:rPr/>
              <w:t>704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0" w:type="dxa"/>
            <w:tcBorders/>
            <w:shd w:fill="CCEEFF" w:val="clear"/>
            <w:tcMar>
              <w:bottom w:w="0" w:type="dxa"/>
            </w:tcMar>
            <w:vAlign w:val="center"/>
          </w:tcPr>
          <w:p>
            <w:pPr>
              <w:pStyle w:val="TableContents"/>
              <w:bidi w:val="0"/>
              <w:spacing w:before="0" w:after="283"/>
              <w:jc w:val="left"/>
              <w:rPr/>
            </w:pPr>
            <w:r>
              <w:rPr/>
              <w:t>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95" w:type="dxa"/>
            <w:tcBorders/>
            <w:shd w:fill="CCEEFF" w:val="clear"/>
            <w:tcMar>
              <w:bottom w:w="0" w:type="dxa"/>
            </w:tcMar>
            <w:vAlign w:val="center"/>
          </w:tcPr>
          <w:p>
            <w:pPr>
              <w:pStyle w:val="TableContents"/>
              <w:bidi w:val="0"/>
              <w:spacing w:before="0" w:after="283"/>
              <w:jc w:val="left"/>
              <w:rPr/>
            </w:pPr>
            <w:r>
              <w:rPr/>
              <w:t>Cash and cash equivalents</w:t>
            </w:r>
          </w:p>
        </w:tc>
      </w:tr>
      <w:tr>
        <w:trPr/>
        <w:tc>
          <w:tcPr>
            <w:tcW w:w="353"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0" w:type="dxa"/>
            <w:tcBorders/>
            <w:shd w:fill="FFFFFF" w:val="clear"/>
            <w:tcMar>
              <w:bottom w:w="0" w:type="dxa"/>
            </w:tcMar>
            <w:vAlign w:val="center"/>
          </w:tcPr>
          <w:p>
            <w:pPr>
              <w:pStyle w:val="TableContents"/>
              <w:bidi w:val="0"/>
              <w:spacing w:before="0" w:after="283"/>
              <w:jc w:val="left"/>
              <w:rPr/>
            </w:pPr>
            <w:r>
              <w:rPr/>
              <w:t>Prepaid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95" w:type="dxa"/>
            <w:tcBorders/>
            <w:shd w:fill="FFFFFF" w:val="clear"/>
            <w:tcMar>
              <w:bottom w:w="0" w:type="dxa"/>
            </w:tcMar>
            <w:vAlign w:val="center"/>
          </w:tcPr>
          <w:p>
            <w:pPr>
              <w:pStyle w:val="TableContents"/>
              <w:bidi w:val="0"/>
              <w:spacing w:before="0" w:after="283"/>
              <w:jc w:val="left"/>
              <w:rPr/>
            </w:pPr>
            <w:r>
              <w:rPr/>
              <w:t>Prepaid expenses and other current assets</w:t>
            </w:r>
          </w:p>
        </w:tc>
      </w:tr>
      <w:tr>
        <w:trPr/>
        <w:tc>
          <w:tcPr>
            <w:tcW w:w="353"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204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0" w:type="dxa"/>
            <w:tcBorders/>
            <w:shd w:fill="CCEEFF" w:val="clear"/>
            <w:tcMar>
              <w:bottom w:w="0" w:type="dxa"/>
            </w:tcMar>
            <w:vAlign w:val="center"/>
          </w:tcPr>
          <w:p>
            <w:pPr>
              <w:pStyle w:val="TableContents"/>
              <w:bidi w:val="0"/>
              <w:spacing w:before="0" w:after="283"/>
              <w:jc w:val="left"/>
              <w:rPr/>
            </w:pPr>
            <w:r>
              <w:rPr/>
              <w:t>Short-term prepaid insurance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95" w:type="dxa"/>
            <w:tcBorders/>
            <w:shd w:fill="CCEEFF" w:val="clear"/>
            <w:tcMar>
              <w:bottom w:w="0" w:type="dxa"/>
            </w:tcMar>
            <w:vAlign w:val="center"/>
          </w:tcPr>
          <w:p>
            <w:pPr>
              <w:pStyle w:val="TableContents"/>
              <w:bidi w:val="0"/>
              <w:spacing w:before="0" w:after="283"/>
              <w:jc w:val="left"/>
              <w:rPr/>
            </w:pPr>
            <w:r>
              <w:rPr/>
              <w:t>Prepaid expenses and other current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4"/>
        <w:gridCol w:w="987"/>
        <w:gridCol w:w="60"/>
        <w:gridCol w:w="4618"/>
        <w:gridCol w:w="60"/>
        <w:gridCol w:w="4256"/>
      </w:tblGrid>
      <w:tr>
        <w:trPr/>
        <w:tc>
          <w:tcPr>
            <w:tcW w:w="1211"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60" w:type="dxa"/>
            <w:tcBorders/>
            <w:tcMar>
              <w:bottom w:w="0" w:type="dxa"/>
            </w:tcMar>
            <w:vAlign w:val="center"/>
          </w:tcPr>
          <w:p>
            <w:pPr>
              <w:pStyle w:val="TableContents"/>
              <w:bidi w:val="0"/>
              <w:spacing w:before="0" w:after="283"/>
              <w:jc w:val="left"/>
              <w:rPr/>
            </w:pPr>
            <w:r>
              <w:rPr/>
              <w:t> </w:t>
            </w:r>
          </w:p>
        </w:tc>
        <w:tc>
          <w:tcPr>
            <w:tcW w:w="4618"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 in Inflection Point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tc>
        <w:tc>
          <w:tcPr>
            <w:tcW w:w="60" w:type="dxa"/>
            <w:tcBorders/>
            <w:tcMar>
              <w:bottom w:w="0" w:type="dxa"/>
            </w:tcMar>
            <w:vAlign w:val="center"/>
          </w:tcPr>
          <w:p>
            <w:pPr>
              <w:pStyle w:val="TableContents"/>
              <w:bidi w:val="0"/>
              <w:spacing w:before="0" w:after="283"/>
              <w:jc w:val="left"/>
              <w:rPr/>
            </w:pPr>
            <w:r>
              <w:rPr/>
              <w:t> </w:t>
            </w:r>
          </w:p>
        </w:tc>
        <w:tc>
          <w:tcPr>
            <w:tcW w:w="4256" w:type="dxa"/>
            <w:tcBorders>
              <w:bottom w:val="single" w:sz="12" w:space="0" w:color="000000"/>
            </w:tcBorders>
            <w:vAlign w:val="center"/>
          </w:tcPr>
          <w:p>
            <w:pPr>
              <w:pStyle w:val="TableContents"/>
              <w:bidi w:val="0"/>
              <w:spacing w:before="0" w:after="283"/>
              <w:jc w:val="center"/>
              <w:rPr>
                <w:b/>
              </w:rPr>
            </w:pPr>
            <w:r>
              <w:rPr>
                <w:b/>
              </w:rPr>
              <w:t xml:space="preserve">Presentation in Unaudited Pro Forma </w:t>
              <w:br/>
              <w:t>Condensed Combined Financial Information</w:t>
            </w:r>
          </w:p>
        </w:tc>
      </w:tr>
      <w:tr>
        <w:trPr/>
        <w:tc>
          <w:tcPr>
            <w:tcW w:w="224" w:type="dxa"/>
            <w:tcBorders/>
            <w:shd w:fill="CCEEFF" w:val="clear"/>
            <w:tcMar>
              <w:bottom w:w="0" w:type="dxa"/>
            </w:tcMar>
            <w:vAlign w:val="center"/>
          </w:tcPr>
          <w:p>
            <w:pPr>
              <w:pStyle w:val="TableContents"/>
              <w:bidi w:val="0"/>
              <w:spacing w:before="0" w:after="283"/>
              <w:jc w:val="left"/>
              <w:rPr/>
            </w:pPr>
            <w:r>
              <w:rPr/>
              <w:t>$</w:t>
            </w:r>
          </w:p>
        </w:tc>
        <w:tc>
          <w:tcPr>
            <w:tcW w:w="987" w:type="dxa"/>
            <w:tcBorders/>
            <w:shd w:fill="CCEEFF" w:val="clear"/>
            <w:tcMar>
              <w:bottom w:w="0" w:type="dxa"/>
            </w:tcMar>
            <w:vAlign w:val="center"/>
          </w:tcPr>
          <w:p>
            <w:pPr>
              <w:pStyle w:val="TableContents"/>
              <w:bidi w:val="0"/>
              <w:spacing w:before="0" w:after="283"/>
              <w:jc w:val="right"/>
              <w:rPr/>
            </w:pPr>
            <w:r>
              <w:rPr/>
              <w:t>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18" w:type="dxa"/>
            <w:tcBorders/>
            <w:shd w:fill="CCEEFF" w:val="clear"/>
            <w:tcMar>
              <w:bottom w:w="0" w:type="dxa"/>
            </w:tcMar>
            <w:vAlign w:val="center"/>
          </w:tcPr>
          <w:p>
            <w:pPr>
              <w:pStyle w:val="TableContents"/>
              <w:bidi w:val="0"/>
              <w:spacing w:before="0" w:after="283"/>
              <w:jc w:val="left"/>
              <w:rPr/>
            </w:pPr>
            <w:r>
              <w:rPr/>
              <w:t>Interest earned on bank account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6" w:type="dxa"/>
            <w:tcBorders/>
            <w:shd w:fill="CCEEFF" w:val="clear"/>
            <w:tcMar>
              <w:bottom w:w="0" w:type="dxa"/>
            </w:tcMar>
            <w:vAlign w:val="center"/>
          </w:tcPr>
          <w:p>
            <w:pPr>
              <w:pStyle w:val="TableContents"/>
              <w:bidi w:val="0"/>
              <w:spacing w:before="0" w:after="283"/>
              <w:jc w:val="left"/>
              <w:rPr/>
            </w:pPr>
            <w:r>
              <w:rPr/>
              <w:t>Interest income</w:t>
            </w:r>
          </w:p>
        </w:tc>
      </w:tr>
      <w:tr>
        <w:trPr/>
        <w:tc>
          <w:tcPr>
            <w:tcW w:w="224"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10,480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18" w:type="dxa"/>
            <w:tcBorders/>
            <w:shd w:fill="FFFFFF" w:val="clear"/>
            <w:tcMar>
              <w:bottom w:w="0" w:type="dxa"/>
            </w:tcMar>
            <w:vAlign w:val="center"/>
          </w:tcPr>
          <w:p>
            <w:pPr>
              <w:pStyle w:val="TableContents"/>
              <w:bidi w:val="0"/>
              <w:spacing w:before="0" w:after="283"/>
              <w:jc w:val="left"/>
              <w:rPr/>
            </w:pPr>
            <w:r>
              <w:rPr/>
              <w:t>Interest earned on investments held in Trust Account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6" w:type="dxa"/>
            <w:tcBorders/>
            <w:shd w:fill="FFFFFF" w:val="clear"/>
            <w:tcMar>
              <w:bottom w:w="0" w:type="dxa"/>
            </w:tcMar>
            <w:vAlign w:val="center"/>
          </w:tcPr>
          <w:p>
            <w:pPr>
              <w:pStyle w:val="TableContents"/>
              <w:bidi w:val="0"/>
              <w:spacing w:before="0" w:after="283"/>
              <w:jc w:val="left"/>
              <w:rPr/>
            </w:pPr>
            <w:r>
              <w:rPr/>
              <w:t>Interest income</w:t>
            </w:r>
          </w:p>
        </w:tc>
      </w:tr>
      <w:tr>
        <w:trPr/>
        <w:tc>
          <w:tcPr>
            <w:tcW w:w="224"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670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18" w:type="dxa"/>
            <w:tcBorders/>
            <w:shd w:fill="CCEEFF" w:val="clear"/>
            <w:tcMar>
              <w:bottom w:w="0" w:type="dxa"/>
            </w:tcMar>
            <w:vAlign w:val="center"/>
          </w:tcPr>
          <w:p>
            <w:pPr>
              <w:pStyle w:val="TableContents"/>
              <w:bidi w:val="0"/>
              <w:spacing w:before="0" w:after="283"/>
              <w:jc w:val="left"/>
              <w:rPr/>
            </w:pPr>
            <w:r>
              <w:rPr/>
              <w:t>Compensation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6" w:type="dxa"/>
            <w:tcBorders/>
            <w:shd w:fill="CCEEFF" w:val="clear"/>
            <w:tcMar>
              <w:bottom w:w="0" w:type="dxa"/>
            </w:tcMar>
            <w:vAlign w:val="center"/>
          </w:tcPr>
          <w:p>
            <w:pPr>
              <w:pStyle w:val="TableContents"/>
              <w:bidi w:val="0"/>
              <w:spacing w:before="0" w:after="283"/>
              <w:jc w:val="left"/>
              <w:rPr/>
            </w:pPr>
            <w:r>
              <w:rPr/>
              <w:t>General and administrative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TRANSACTION ADJUSTMENTS TO UNAUDITED PRO FORMA CONDENSED COMBINED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any anticipated synergies, operating efficiencies, tax savings, or cost savings that may be associated with the Business Combination. No tax adjustment has been computed for the Merlin pro forma financial results, as it expects to remain in a net loss position and maintain a full valuation allowance against its U.S. deferred tax assets. The pro forma transaction adjustments included in the unaudited pro forma condensed combined balance sheet as of December 31, 2025 are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a</w:t>
            </w:r>
          </w:p>
        </w:tc>
        <w:tc>
          <w:tcPr>
            <w:tcW w:w="10028" w:type="dxa"/>
            <w:tcBorders/>
            <w:vAlign w:val="center"/>
          </w:tcPr>
          <w:p>
            <w:pPr>
              <w:pStyle w:val="TableContents"/>
              <w:bidi w:val="0"/>
              <w:spacing w:before="0" w:after="283"/>
              <w:jc w:val="both"/>
              <w:rPr/>
            </w:pPr>
            <w:r>
              <w:rPr>
                <w:b/>
              </w:rPr>
              <w:t>Cash.</w:t>
            </w:r>
            <w:r>
              <w:rPr/>
              <w:t xml:space="preserve"> Reflects the impact of the Business Combination on the cash balance of Merlin. The table below represents the sources and uses of funds as it relates to the business combination:</w:t>
            </w:r>
          </w:p>
        </w:tc>
      </w:tr>
    </w:tbl>
    <w:p>
      <w:pPr>
        <w:pStyle w:val="TextBody"/>
        <w:bidi w:val="0"/>
        <w:spacing w:before="0" w:after="0"/>
        <w:ind w:left="0" w:right="0" w:firstLine="1080"/>
        <w:jc w:val="both"/>
        <w:rPr>
          <w:caps w:val="false"/>
          <w:smallCaps w:val="false"/>
        </w:rPr>
      </w:pPr>
      <w:r>
        <w:rPr>
          <w:caps w:val="false"/>
          <w:smallCaps w:val="false"/>
        </w:rPr>
        <w:t> </w:t>
      </w:r>
    </w:p>
    <w:tbl>
      <w:tblPr>
        <w:tblW w:w="9055" w:type="dxa"/>
        <w:jc w:val="left"/>
        <w:tblInd w:w="0" w:type="dxa"/>
        <w:tblLayout w:type="fixed"/>
        <w:tblCellMar>
          <w:top w:w="0" w:type="dxa"/>
          <w:left w:w="0" w:type="dxa"/>
          <w:bottom w:w="28" w:type="dxa"/>
          <w:right w:w="0" w:type="dxa"/>
        </w:tblCellMar>
      </w:tblPr>
      <w:tblGrid>
        <w:gridCol w:w="7310"/>
        <w:gridCol w:w="60"/>
        <w:gridCol w:w="500"/>
        <w:gridCol w:w="60"/>
        <w:gridCol w:w="140"/>
        <w:gridCol w:w="875"/>
        <w:gridCol w:w="110"/>
      </w:tblGrid>
      <w:tr>
        <w:trPr/>
        <w:tc>
          <w:tcPr>
            <w:tcW w:w="7310" w:type="dxa"/>
            <w:tcBorders>
              <w:bottom w:val="single" w:sz="12" w:space="0" w:color="000000"/>
            </w:tcBorders>
            <w:vAlign w:val="center"/>
          </w:tcPr>
          <w:p>
            <w:pPr>
              <w:pStyle w:val="TableContents"/>
              <w:bidi w:val="0"/>
              <w:spacing w:before="0" w:after="283"/>
              <w:ind w:left="0" w:right="0" w:hanging="180"/>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1015"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ind w:left="0" w:right="0" w:hanging="180"/>
              <w:jc w:val="left"/>
              <w:rPr/>
            </w:pPr>
            <w:r>
              <w:rPr/>
              <w:t> </w:t>
            </w:r>
          </w:p>
        </w:tc>
      </w:tr>
      <w:tr>
        <w:trPr/>
        <w:tc>
          <w:tcPr>
            <w:tcW w:w="7310" w:type="dxa"/>
            <w:tcBorders/>
            <w:shd w:fill="CCEEFF" w:val="clear"/>
            <w:tcMar>
              <w:bottom w:w="0" w:type="dxa"/>
            </w:tcMar>
            <w:vAlign w:val="center"/>
          </w:tcPr>
          <w:p>
            <w:pPr>
              <w:pStyle w:val="TableContents"/>
              <w:bidi w:val="0"/>
              <w:spacing w:before="0" w:after="283"/>
              <w:jc w:val="left"/>
              <w:rPr/>
            </w:pPr>
            <w:r>
              <w:rPr/>
              <w:t>Inflection Point historic cash and cash equivalents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704</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310" w:type="dxa"/>
            <w:tcBorders/>
            <w:shd w:fill="FFFFFF" w:val="clear"/>
            <w:tcMar>
              <w:bottom w:w="0" w:type="dxa"/>
            </w:tcMar>
            <w:vAlign w:val="center"/>
          </w:tcPr>
          <w:p>
            <w:pPr>
              <w:pStyle w:val="TableContents"/>
              <w:bidi w:val="0"/>
              <w:spacing w:before="0" w:after="283"/>
              <w:jc w:val="left"/>
              <w:rPr/>
            </w:pPr>
            <w:r>
              <w:rPr/>
              <w:t>Merlin historic cash and cash equivalents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pPr>
            <w:r>
              <w:rPr/>
              <w:t>59,343</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310" w:type="dxa"/>
            <w:tcBorders/>
            <w:shd w:fill="CCEEFF" w:val="clear"/>
            <w:tcMar>
              <w:bottom w:w="0" w:type="dxa"/>
            </w:tcMar>
            <w:vAlign w:val="center"/>
          </w:tcPr>
          <w:p>
            <w:pPr>
              <w:pStyle w:val="TableContents"/>
              <w:bidi w:val="0"/>
              <w:spacing w:before="0" w:after="283"/>
              <w:jc w:val="left"/>
              <w:rPr/>
            </w:pPr>
            <w:r>
              <w:rPr/>
              <w:t>Total pre-adjustment cash and cash equivalents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60,047</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310" w:type="dxa"/>
            <w:tcBorders/>
            <w:shd w:fill="FFFFFF" w:val="clear"/>
            <w:tcMar>
              <w:bottom w:w="0" w:type="dxa"/>
            </w:tcMar>
            <w:vAlign w:val="center"/>
          </w:tcPr>
          <w:p>
            <w:pPr>
              <w:pStyle w:val="TableContents"/>
              <w:bidi w:val="0"/>
              <w:spacing w:before="0" w:after="283"/>
              <w:jc w:val="left"/>
              <w:rPr/>
            </w:pPr>
            <w:r>
              <w:rPr/>
              <w:t>Proceeds from cash, cash equivalents, and investments held in Trust Account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262,236</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310" w:type="dxa"/>
            <w:tcBorders/>
            <w:shd w:fill="CCEEFF" w:val="clear"/>
            <w:tcMar>
              <w:bottom w:w="0" w:type="dxa"/>
            </w:tcMar>
            <w:vAlign w:val="center"/>
          </w:tcPr>
          <w:p>
            <w:pPr>
              <w:pStyle w:val="TableContents"/>
              <w:bidi w:val="0"/>
              <w:spacing w:before="0" w:after="283"/>
              <w:jc w:val="left"/>
              <w:rPr/>
            </w:pPr>
            <w:r>
              <w:rPr/>
              <w:t>Payment of deferred underwriter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(8,750</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7310" w:type="dxa"/>
            <w:tcBorders/>
            <w:shd w:fill="FFFFFF" w:val="clear"/>
            <w:tcMar>
              <w:bottom w:w="0" w:type="dxa"/>
            </w:tcMar>
            <w:vAlign w:val="center"/>
          </w:tcPr>
          <w:p>
            <w:pPr>
              <w:pStyle w:val="TableContents"/>
              <w:bidi w:val="0"/>
              <w:spacing w:before="0" w:after="283"/>
              <w:jc w:val="left"/>
              <w:rPr/>
            </w:pPr>
            <w:r>
              <w:rPr/>
              <w:t>Payment of cash underwriter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(1,000</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7310" w:type="dxa"/>
            <w:tcBorders/>
            <w:shd w:fill="CCEEFF" w:val="clear"/>
            <w:tcMar>
              <w:bottom w:w="0" w:type="dxa"/>
            </w:tcMar>
            <w:vAlign w:val="center"/>
          </w:tcPr>
          <w:p>
            <w:pPr>
              <w:pStyle w:val="TableContents"/>
              <w:bidi w:val="0"/>
              <w:spacing w:before="0" w:after="283"/>
              <w:jc w:val="left"/>
              <w:rPr/>
            </w:pPr>
            <w:r>
              <w:rPr/>
              <w:t>PIPE investment,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120,000</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310" w:type="dxa"/>
            <w:tcBorders/>
            <w:shd w:fill="FFFFFF" w:val="clear"/>
            <w:tcMar>
              <w:bottom w:w="0" w:type="dxa"/>
            </w:tcMar>
            <w:vAlign w:val="center"/>
          </w:tcPr>
          <w:p>
            <w:pPr>
              <w:pStyle w:val="TableContents"/>
              <w:bidi w:val="0"/>
              <w:spacing w:before="0" w:after="283"/>
              <w:jc w:val="left"/>
              <w:rPr/>
            </w:pPr>
            <w:r>
              <w:rPr/>
              <w:t>Payment of transaction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(23,273</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7310" w:type="dxa"/>
            <w:tcBorders/>
            <w:shd w:fill="CCEEFF" w:val="clear"/>
            <w:tcMar>
              <w:bottom w:w="0" w:type="dxa"/>
            </w:tcMar>
            <w:vAlign w:val="center"/>
          </w:tcPr>
          <w:p>
            <w:pPr>
              <w:pStyle w:val="TableContents"/>
              <w:bidi w:val="0"/>
              <w:spacing w:before="0" w:after="283"/>
              <w:jc w:val="left"/>
              <w:rPr/>
            </w:pPr>
            <w:r>
              <w:rPr/>
              <w:t>Payment to redeeming Inflection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(236,542</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7310" w:type="dxa"/>
            <w:tcBorders/>
            <w:shd w:fill="FFFFFF" w:val="clear"/>
            <w:tcMar>
              <w:bottom w:w="0" w:type="dxa"/>
            </w:tcMar>
            <w:vAlign w:val="center"/>
          </w:tcPr>
          <w:p>
            <w:pPr>
              <w:pStyle w:val="TableContents"/>
              <w:bidi w:val="0"/>
              <w:spacing w:before="0" w:after="283"/>
              <w:jc w:val="left"/>
              <w:rPr/>
            </w:pPr>
            <w:r>
              <w:rPr/>
              <w:t>Cash adjustment in connection with the business combination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pPr>
            <w:r>
              <w:rPr/>
              <w:t>112,671</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310" w:type="dxa"/>
            <w:tcBorders/>
            <w:shd w:fill="CCEEFF" w:val="clear"/>
            <w:tcMar>
              <w:bottom w:w="0" w:type="dxa"/>
            </w:tcMar>
            <w:vAlign w:val="center"/>
          </w:tcPr>
          <w:p>
            <w:pPr>
              <w:pStyle w:val="TableContents"/>
              <w:bidi w:val="0"/>
              <w:spacing w:before="0" w:after="283"/>
              <w:jc w:val="left"/>
              <w:rPr/>
            </w:pPr>
            <w:r>
              <w:rPr/>
              <w:t>Ending cash and cash equivalents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875" w:type="dxa"/>
            <w:tcBorders>
              <w:bottom w:val="double" w:sz="10" w:space="0" w:color="000000"/>
            </w:tcBorders>
            <w:shd w:fill="CCEEFF" w:val="clear"/>
            <w:vAlign w:val="center"/>
          </w:tcPr>
          <w:p>
            <w:pPr>
              <w:pStyle w:val="TableContents"/>
              <w:bidi w:val="0"/>
              <w:spacing w:before="0" w:after="283"/>
              <w:jc w:val="right"/>
              <w:rPr/>
            </w:pPr>
            <w:r>
              <w:rPr/>
              <w:t>172,718</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Represents $704 and $262,236 of Inflection Point’s cash and investments held in Trust Account as of December 31, 2025, respectively.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Represents the payment of $8,750 of deferred underwriting fees and $1,000 of cash underwriting fees from Inflection Point’s IPO payable upon consummation of the Business Combination.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Represents the net proceeds of $120,000 from the issuance of Series A Preferred Stock and Series A Warrants to the PIPE Investors, based on total proceeds of $207,704 less proceeds of $87,704 already received and included in Merlin’s cash and cash equivalents as of December 31,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Represents the payment of $23,273 of net estimated Business Combination transaction costs incurred by Inflection Point and Merlin, based on total estimated Business Combination transaction costs of $29,177 less transaction costs of $5,905 already paid by Merlin. This includes an estimated $8,392 of issuance costs related to the PIPE Investment.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Represents $236,542 paid to holders of Inflection Class A Shares subject to possible redemption who exercised their redemption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b/>
              </w:rPr>
            </w:pPr>
            <w:r>
              <w:rPr>
                <w:b/>
              </w:rPr>
              <w:t>b</w:t>
            </w:r>
          </w:p>
        </w:tc>
        <w:tc>
          <w:tcPr>
            <w:tcW w:w="10013" w:type="dxa"/>
            <w:tcBorders/>
            <w:vAlign w:val="center"/>
          </w:tcPr>
          <w:p>
            <w:pPr>
              <w:pStyle w:val="TableContents"/>
              <w:bidi w:val="0"/>
              <w:spacing w:before="0" w:after="283"/>
              <w:jc w:val="both"/>
              <w:rPr/>
            </w:pPr>
            <w:r>
              <w:rPr>
                <w:b/>
              </w:rPr>
              <w:t xml:space="preserve">Transaction costs. </w:t>
            </w:r>
            <w:r>
              <w:rPr/>
              <w:t>The following adjustments represent the impact of transaction costs associated with the Business Combination on capitalized transaction costs, accounts payable, and accrued expenses: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Represents the removal of $7,562 of transaction costs incurred and capitalized in capitalized transaction costs as of December 31,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Represents the removal of $478 of transaction costs incurred and payable in accounts payable as of December 31,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Represents the removal of $4,848 of transaction costs incurred and accrued in accrued expenses as of December 31,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b/>
              </w:rPr>
            </w:pPr>
            <w:r>
              <w:rPr>
                <w:b/>
              </w:rPr>
              <w:t>c</w:t>
            </w:r>
          </w:p>
        </w:tc>
        <w:tc>
          <w:tcPr>
            <w:tcW w:w="10043" w:type="dxa"/>
            <w:tcBorders/>
            <w:vAlign w:val="center"/>
          </w:tcPr>
          <w:p>
            <w:pPr>
              <w:pStyle w:val="TableContents"/>
              <w:bidi w:val="0"/>
              <w:spacing w:before="0" w:after="283"/>
              <w:jc w:val="both"/>
              <w:rPr/>
            </w:pPr>
            <w:r>
              <w:rPr>
                <w:b/>
              </w:rPr>
              <w:t>Convertible notes, warrants, and equity.</w:t>
            </w:r>
            <w:r>
              <w:rPr/>
              <w:t xml:space="preserve"> The following adjustments represent the impact of the Business Combination on convertible promissory notes, warrant liabilities, Series A Preferred Stock, New Merlin Common Stock, additional paid-in capital, and stockholders’ deficit: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Represents the redemption of 22,550,551 Inflection Class A Shares and the reclassification of 2,449,449 Inflection Class A Shares subject to potential redemption and 425,000 Inflection Class A Shares not subject to redemption into 2,874,449 shares of New Merlin Common Stock and additional paid-in-capital of $25,693.</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Represents the reclassification of 8,333,333 shares of Inflection Class B Shares into 8,333,333 shares of New Merlin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Represents the issuance of 2,542,500 shares of New Merlin Common Stock in connection with the conversion of the Inflection Point Rights.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Represents the conversion of 17,154,902 shares of Merlin redeemable convertible preferred stock into 53,206,098 shares of New Merlin Common Stock, based on an expected Exchange Ratio of approximately 3.1015. In connection with the conversion, there is a $461,958 increase in additional paid-in-capital.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Represents the conversion of 5,306,250 shares of Merlin Common Stock into 16,457,387 shares of New Merlin Common Stock, based on an expected Exchange Ratio of approximately 3.1015. In connection with this conversion there is a $1 decrease in additional paid-in capital.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t>Represents the cashless exercise of warrants to purchase shares of Merlin Common Stock and the conversion of the Merlin Common Stock to 19,623 shares of New Merlin Common Stock, based an expected Exchange Ratio of approximately 3.1015.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Represents the cashless exercise of the 2019 LSA Warrants and 2021 LSA Warrants to purchase shares of Merlin redeemable convertible preferred stock, the one-to-one conversion of the Merlin redeemable convertible preferred stock to Merlin Common Stock, and the conversion of Merlin Common Stock to 701,293 shares of New Merlin Common Stock, based on an expected Exchange Ratio of approximately 3.1015.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t>Represents the aggregate issuance to the PIPE Investors of 21,715,451 shares of Series A Preferred Stock and 21,157,300 warrants to purchase New Merlin Common Stock in exchange for (i) the Pre-Funded Convertible Notes and the Pre-Funded Warrants and (ii) pursuant to the Series A SPAs, including an associated decrease of $18,169 to accumulated deficit.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$0.0001 par value Series A Preferred Stock have the following rights and preferences: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 On all matters subject to the authorization of the holders of common stock, the holders of Series A Preferred Stock are entitled to vote together with holders of New Merlin Common Stock on an as-converted basis.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Protective Provisions - </w:t>
      </w:r>
      <w:r>
        <w:rPr>
          <w:rFonts w:ascii="Times New Roman;Times;Serif" w:hAnsi="Times New Roman;Times;Serif"/>
          <w:b w:val="false"/>
          <w:i w:val="false"/>
          <w:caps w:val="false"/>
          <w:smallCaps w:val="false"/>
          <w:sz w:val="20"/>
        </w:rPr>
        <w:t>For as long as 20% of the shares of Series A Preferred Stock issued as of the Closing are outstanding, New Merlin shall not, without the affirmative vote or action by the Requisite Holders, take any of the following actions: (i) liquidate, dissolve or wind up the affairs of New Merlin; (ii) amend, alter, or repeal any provision of the Certificate of Designation or any similar document of New Merlin in a manner adverse to the Series A Preferred Stock; (iii) create or authorize the creation of or issue any other security convertible into or exercisable for any equity security unless such security ranks junior to the Series A Preferred Stock with respect to its rights, preferences and privileges, or increase the authorized number of shares of Series A Preferred Stock; (iv) purchase or redeem or pay any cash dividend on any capital stock ranking junior to the Series A Preferred Stock, other than stock repurchased at cost from former employees and consultants in connection with the cessation of their service; (v) enter into any transaction with an affiliate, other than the issuance of equity or awards to eligible participants under New Merlin’s incentive plan, equity plan or equity-based compensation plan, or with respect to employment, consulting or award agreements with respect to executive officers of New Merlin, in each case regardless of whether such person (or such person’s affiliates) would be considered an affiliate of New Merlin; or (vi) incur or guarantee any indebtedness, other than equipment leases or trade payables incurred in the ordinary course of business, if the aggregate indebtedness of New Merlin and its subsidiaries for borrowed money following such action would exceed $5,000; provided, however, that the Series A Preferred Stock shall not be considered indebtedness for purposes of this calculation.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Dividends - </w:t>
      </w:r>
      <w:r>
        <w:rPr>
          <w:rFonts w:ascii="Times New Roman;Times;Serif" w:hAnsi="Times New Roman;Times;Serif"/>
          <w:b w:val="false"/>
          <w:i w:val="false"/>
          <w:caps w:val="false"/>
          <w:smallCaps w:val="false"/>
          <w:sz w:val="20"/>
        </w:rPr>
        <w:t>The holders of Series A Preferred Stock are entitled to receive, on a pari passu basis and prior and in preference to holders of the New Merlin Common Stock, an annual dividend in the amount of 12% of the Accrued Value (defined as the $12 stated value per share plus any accrued and unpaid dividends). Such dividends are payable only if and when declared and are cumulative, accruing daily and compounded semi-annually. No dividends shall be declared, paid, or set aside for New Merlin Common Stock without the holder of the Series A Preferred Stock receiving the aggregate amount of accrued dividends thereon at such time. Holders of Series A Preferred Stock shall also be entitled to receive participating dividends, if and when declared on the New Merlin Common Stock, on an as-converted basis.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Liquidation - </w:t>
      </w:r>
      <w:r>
        <w:rPr>
          <w:rFonts w:ascii="Times New Roman;Times;Serif" w:hAnsi="Times New Roman;Times;Serif"/>
          <w:b w:val="false"/>
          <w:i w:val="false"/>
          <w:caps w:val="false"/>
          <w:smallCaps w:val="false"/>
          <w:sz w:val="20"/>
        </w:rPr>
        <w:t>In the event of liquidation, dissolution or winding up of New Merlin or upon the occurrence of a Deemed Liquidation Event (as defined in the Business Combination Agreement), the holders of the Series A Preferred Stock shall be entitled to receive, in preference to all holders of New Merlin Common Stock, an amount per share equal to the greater of (i) 100% of the Accrued Value or (ii) such amount per share as would have been payable had all shares of Series A Preferred Stock been converted into New Merlin Common Stock immediately prior to the liquidation, dissolution, winding up or Deemed Liquidation Event.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Conversion </w:t>
      </w:r>
      <w:r>
        <w:rPr>
          <w:rFonts w:ascii="Times New Roman;Times;Serif" w:hAnsi="Times New Roman;Times;Serif"/>
          <w:b w:val="false"/>
          <w:i w:val="false"/>
          <w:caps w:val="false"/>
          <w:smallCaps w:val="false"/>
          <w:sz w:val="20"/>
        </w:rPr>
        <w:t>- Each share of Series A Preferred Stock is convertible at the holder’s option into a fixed number of New Merlin Common Stock at a conversion rate equal to (i) the Accrued Value at the time of conversion divided by (ii) the Conversion Price, defined as an initial conversion price of $12 per share, subject to customary antidilution and down-round adjustments.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Redemption </w:t>
      </w:r>
      <w:r>
        <w:rPr>
          <w:rFonts w:ascii="Times New Roman;Times;Serif" w:hAnsi="Times New Roman;Times;Serif"/>
          <w:b w:val="false"/>
          <w:i w:val="false"/>
          <w:caps w:val="false"/>
          <w:smallCaps w:val="false"/>
          <w:sz w:val="20"/>
        </w:rPr>
        <w:t>- The Series A Preferred Stock is redeemable by New Merlin on or after the Closing at a redemption price per share equal to (i) 150% of the Accrued Value if redeemed within one year, (ii) 140% of the Accrued Value if redeemed after one year but within two years, (iii) 130% of the Accrued Value if redeemed after two years but within three years, (iv) 120% of the Accrued Value if redeemed after three years but within four years, (v) 110% of the Accrued Value if redeemed after four years but within five years, and (vi) 100% of the Accrued Value if after five years.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is redeemable by the holder thereof at any time following the fifth anniversary of the Closing. The redemption price is equal to the Accrued Value of the Series A Preferred Stock at the time of redemption.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is classified as temporary equity because it is redeemable for cash at the option of the holder. The Series A Preferred Stock is initially recognized at issuance date fair value. Since the Series A Preferred Stock becomes redeemable by the holder solely upon the passage of time, New Merlin will subsequently recognize changes in the redemption value immediately as they occur and adjust the carrying amount of the Series A Preferred Stock to its redemption value at each reporting date as if it were redeemable at that date.</w:t>
      </w:r>
    </w:p>
    <w:p>
      <w:pPr>
        <w:pStyle w:val="TextBody"/>
        <w:bidi w:val="0"/>
        <w:spacing w:before="0" w:after="0"/>
        <w:ind w:left="72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8" w:type="dxa"/>
            <w:tcBorders/>
            <w:vAlign w:val="center"/>
          </w:tcPr>
          <w:p>
            <w:pPr>
              <w:pStyle w:val="TableContents"/>
              <w:bidi w:val="0"/>
              <w:spacing w:before="0" w:after="283"/>
              <w:jc w:val="both"/>
              <w:rPr/>
            </w:pPr>
            <w:r>
              <w:rPr/>
              <w:t>Represents the payment of $24,142 of legal, advisory, and other transaction costs to be capitalized in additional paid-in capital, and $1,366 of legal, advisory, and other transaction costs to be expensed in accumulated deficit.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10</w:t>
            </w:r>
          </w:p>
        </w:tc>
        <w:tc>
          <w:tcPr>
            <w:tcW w:w="9908" w:type="dxa"/>
            <w:tcBorders/>
            <w:vAlign w:val="center"/>
          </w:tcPr>
          <w:p>
            <w:pPr>
              <w:pStyle w:val="TableContents"/>
              <w:bidi w:val="0"/>
              <w:spacing w:before="0" w:after="283"/>
              <w:jc w:val="both"/>
              <w:rPr/>
            </w:pPr>
            <w:r>
              <w:rPr/>
              <w:t>Represents the reclassification of $11,167 of Inflection Point’s accumulated deficit to additional paid-in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TRANSACTION ADJUSTMENTS TO UNAUDITED PRO FORMA CONDENSED COMBINED STATEMENT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transaction adjustments included in the unaudited pro forma condensed combined statements of operations for the year ended December 31, 2025 and are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a</w:t>
            </w:r>
          </w:p>
        </w:tc>
        <w:tc>
          <w:tcPr>
            <w:tcW w:w="10028" w:type="dxa"/>
            <w:tcBorders/>
            <w:vAlign w:val="center"/>
          </w:tcPr>
          <w:p>
            <w:pPr>
              <w:pStyle w:val="TableContents"/>
              <w:bidi w:val="0"/>
              <w:spacing w:before="0" w:after="283"/>
              <w:jc w:val="both"/>
              <w:rPr/>
            </w:pPr>
            <w:r>
              <w:rPr>
                <w:b/>
              </w:rPr>
              <w:t xml:space="preserve">Transaction costs. </w:t>
            </w:r>
            <w:r>
              <w:rPr/>
              <w:t>Represents $1,366 of additional legal, advisory, and other transaction expenses which Merlin expects to incur and expense in connection with the Business Combination. Transaction costs are not expected to continue beyond 12 months after the Closing.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b/>
              </w:rPr>
            </w:pPr>
            <w:r>
              <w:rPr>
                <w:b/>
              </w:rPr>
              <w:t>b</w:t>
            </w:r>
          </w:p>
        </w:tc>
        <w:tc>
          <w:tcPr>
            <w:tcW w:w="10013" w:type="dxa"/>
            <w:tcBorders/>
            <w:vAlign w:val="center"/>
          </w:tcPr>
          <w:p>
            <w:pPr>
              <w:pStyle w:val="TableContents"/>
              <w:bidi w:val="0"/>
              <w:spacing w:before="0" w:after="283"/>
              <w:jc w:val="both"/>
              <w:rPr/>
            </w:pPr>
            <w:r>
              <w:rPr>
                <w:b/>
              </w:rPr>
              <w:t>Interest on cash, cash equivalents, and investments held in the Trust Account and interest from bank account.</w:t>
            </w:r>
            <w:r>
              <w:rPr/>
              <w:t xml:space="preserve"> Represents the elimination of an immaterial amount of interest earned on cash, cash equivalents, and $10,480 of interest earned on investments held in the Trust Account during the year ended December 31,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b/>
              </w:rPr>
            </w:pPr>
            <w:r>
              <w:rPr>
                <w:b/>
              </w:rPr>
              <w:t>c</w:t>
            </w:r>
          </w:p>
        </w:tc>
        <w:tc>
          <w:tcPr>
            <w:tcW w:w="10043" w:type="dxa"/>
            <w:tcBorders/>
            <w:vAlign w:val="center"/>
          </w:tcPr>
          <w:p>
            <w:pPr>
              <w:pStyle w:val="TableContents"/>
              <w:bidi w:val="0"/>
              <w:spacing w:before="0" w:after="283"/>
              <w:jc w:val="both"/>
              <w:rPr/>
            </w:pPr>
            <w:r>
              <w:rPr>
                <w:b/>
              </w:rPr>
              <w:t xml:space="preserve">Losses on convertible promissory notes and warrants. </w:t>
            </w:r>
            <w:r>
              <w:rPr/>
              <w:t>The following adjustments represent the impact of the Business Combination on historical losses recognized related to the convertible promissory notes and warrant liabilities exchanged in the Business Combination: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Represents the removal of $2,357 of losses in change in fair value of warrant liabilities recognized during the year ended December 31,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Represents the removal of $7,563 of losses in change in fair value of convertible promissory notes recognized during the year ended December 31,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Represents the removal of $3,320 of losses in loss on exchange of warrant liabilities recognized during the year ended December 31,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Represents the removal of $585 of losses in loss on the issuance of financial instruments recognized during the year ended December 31, 2025.</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b/>
              </w:rPr>
            </w:pPr>
            <w:r>
              <w:rPr>
                <w:b/>
              </w:rPr>
              <w:t>d</w:t>
            </w:r>
          </w:p>
        </w:tc>
        <w:tc>
          <w:tcPr>
            <w:tcW w:w="10013" w:type="dxa"/>
            <w:tcBorders/>
            <w:vAlign w:val="center"/>
          </w:tcPr>
          <w:p>
            <w:pPr>
              <w:pStyle w:val="TableContents"/>
              <w:bidi w:val="0"/>
              <w:spacing w:before="0" w:after="283"/>
              <w:jc w:val="both"/>
              <w:rPr/>
            </w:pPr>
            <w:r>
              <w:rPr>
                <w:b/>
              </w:rPr>
              <w:t xml:space="preserve">Net loss per share. </w:t>
            </w:r>
            <w:r>
              <w:rPr/>
              <w:t>The following adjustments represent the impact of the Business Combination on net loss available to common stockholders related to the deemed dividend on exchange of preferred shares and the cumulative dividends on Series A Preferred Stock:</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Represents the removal of the deemed dividend on exchange of redeemable convertible preferred stock of $345,717 during the year ended December 31,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Represents the cumulative dividends on Series A Preferred stock of $31,270 during the year ended December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are calculated using the two-class method. The Series A Preferred Stock is a participating security because it entitles holders thereof to cumulative dividends. Under the two-class method, earnings are allocated between holders of New Merlin Common Stock and these participating securities based on their contractual rights and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loss attributable to holders of New Merlin Common Stock by the weighted-average shares of New Merlin Common Stock outstanding. Diluted net loss per share is computed by dividing net loss attributable to common shareholders by the weighted-average number of shares of New Merlin Common Stock outstanding, after adjusting for potential dilution related to the conversion of all dilutive securities into New Merlin Common Stock. As the Business Combination is being reflected as if it had occurred at the beginning of the periods presented, the calculation of weighted-average shares outstanding for basic and diluted net loss per share assumes that the shares issuable relating to the Business Combination have been outstanding for the entire periods presented. If Public Shares are redeemed, this calculation is retroactively adjusted to eliminate such shares for the entire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numerator and denominator of the basic and diluted historical earnings per share for Inflection Point were calculated as follows:</w:t>
      </w:r>
    </w:p>
    <w:p>
      <w:pPr>
        <w:pStyle w:val="TextBody"/>
        <w:bidi w:val="0"/>
        <w:spacing w:before="0" w:after="0"/>
        <w:ind w:left="0" w:right="0" w:hanging="0"/>
        <w:jc w:val="both"/>
        <w:rPr>
          <w:caps w:val="false"/>
          <w:smallCaps w:val="false"/>
        </w:rPr>
      </w:pPr>
      <w:r>
        <w:rPr>
          <w:caps w:val="false"/>
          <w:smallCaps w:val="false"/>
        </w:rPr>
        <w:t> </w:t>
      </w:r>
    </w:p>
    <w:tbl>
      <w:tblPr>
        <w:tblW w:w="10146" w:type="dxa"/>
        <w:jc w:val="left"/>
        <w:tblInd w:w="0" w:type="dxa"/>
        <w:tblLayout w:type="fixed"/>
        <w:tblCellMar>
          <w:top w:w="0" w:type="dxa"/>
          <w:left w:w="0" w:type="dxa"/>
          <w:bottom w:w="0" w:type="dxa"/>
          <w:right w:w="0" w:type="dxa"/>
        </w:tblCellMar>
      </w:tblPr>
      <w:tblGrid>
        <w:gridCol w:w="7295"/>
        <w:gridCol w:w="60"/>
        <w:gridCol w:w="153"/>
        <w:gridCol w:w="1206"/>
        <w:gridCol w:w="65"/>
        <w:gridCol w:w="65"/>
        <w:gridCol w:w="153"/>
        <w:gridCol w:w="1074"/>
        <w:gridCol w:w="75"/>
      </w:tblGrid>
      <w:tr>
        <w:trPr/>
        <w:tc>
          <w:tcPr>
            <w:tcW w:w="729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br/>
              <w:t>2025</w:t>
            </w:r>
          </w:p>
        </w:tc>
        <w:tc>
          <w:tcPr>
            <w:tcW w:w="75" w:type="dxa"/>
            <w:tcBorders/>
            <w:vAlign w:val="center"/>
          </w:tcPr>
          <w:p>
            <w:pPr>
              <w:pStyle w:val="TableContents"/>
              <w:bidi w:val="0"/>
              <w:spacing w:before="0" w:after="283"/>
              <w:ind w:left="0" w:right="0" w:hanging="180"/>
              <w:jc w:val="left"/>
              <w:rPr/>
            </w:pPr>
            <w:r>
              <w:rPr/>
              <w:t> </w:t>
            </w:r>
          </w:p>
        </w:tc>
      </w:tr>
      <w:tr>
        <w:trPr/>
        <w:tc>
          <w:tcPr>
            <w:tcW w:w="7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75" w:type="dxa"/>
            <w:tcBorders/>
            <w:vAlign w:val="center"/>
          </w:tcPr>
          <w:p>
            <w:pPr>
              <w:pStyle w:val="TableContents"/>
              <w:bidi w:val="0"/>
              <w:spacing w:before="0" w:after="283"/>
              <w:ind w:left="0" w:right="0" w:hanging="180"/>
              <w:jc w:val="left"/>
              <w:rPr/>
            </w:pPr>
            <w:r>
              <w:rPr/>
              <w:t> </w:t>
            </w:r>
          </w:p>
        </w:tc>
      </w:tr>
      <w:tr>
        <w:trPr/>
        <w:tc>
          <w:tcPr>
            <w:tcW w:w="7295" w:type="dxa"/>
            <w:tcBorders/>
            <w:vAlign w:val="center"/>
          </w:tcPr>
          <w:p>
            <w:pPr>
              <w:pStyle w:val="TableContents"/>
              <w:bidi w:val="0"/>
              <w:spacing w:before="0" w:after="283"/>
              <w:jc w:val="left"/>
              <w:rPr/>
            </w:pPr>
            <w:r>
              <w:rPr/>
              <w:t>Basic and diluted net income per Inflection Point Ordinary Share Numerator:</w:t>
            </w:r>
          </w:p>
        </w:tc>
        <w:tc>
          <w:tcPr>
            <w:tcW w:w="60" w:type="dxa"/>
            <w:tcBorders/>
            <w:vAlign w:val="center"/>
          </w:tcPr>
          <w:p>
            <w:pPr>
              <w:pStyle w:val="TableContents"/>
              <w:bidi w:val="0"/>
              <w:spacing w:before="0" w:after="283"/>
              <w:jc w:val="left"/>
              <w:rPr/>
            </w:pPr>
            <w:r>
              <w:rPr/>
              <w:t> </w:t>
            </w:r>
          </w:p>
        </w:tc>
        <w:tc>
          <w:tcPr>
            <w:tcW w:w="1359"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295" w:type="dxa"/>
            <w:tcBorders/>
            <w:shd w:fill="CCEEFF" w:val="clear"/>
            <w:vAlign w:val="center"/>
          </w:tcPr>
          <w:p>
            <w:pPr>
              <w:pStyle w:val="TableContents"/>
              <w:bidi w:val="0"/>
              <w:spacing w:before="0" w:after="283"/>
              <w:jc w:val="left"/>
              <w:rPr/>
            </w:pPr>
            <w:r>
              <w:rPr/>
              <w:t>Allocation of net income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6" w:type="dxa"/>
            <w:tcBorders/>
            <w:shd w:fill="CCEEFF" w:val="clear"/>
            <w:vAlign w:val="center"/>
          </w:tcPr>
          <w:p>
            <w:pPr>
              <w:pStyle w:val="TableContents"/>
              <w:bidi w:val="0"/>
              <w:spacing w:before="0" w:after="283"/>
              <w:jc w:val="right"/>
              <w:rPr/>
            </w:pPr>
            <w:r>
              <w:rPr/>
              <w:t>4,525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1,483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295"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295" w:type="dxa"/>
            <w:tcBorders/>
            <w:shd w:fill="CCEEFF" w:val="clear"/>
            <w:vAlign w:val="center"/>
          </w:tcPr>
          <w:p>
            <w:pPr>
              <w:pStyle w:val="TableContents"/>
              <w:bidi w:val="0"/>
              <w:spacing w:before="0" w:after="283"/>
              <w:jc w:val="left"/>
              <w:rPr/>
            </w:pPr>
            <w:r>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25,425,000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8,333,333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295" w:type="dxa"/>
            <w:tcBorders/>
            <w:shd w:fill="FFFFFF" w:val="clear"/>
            <w:vAlign w:val="center"/>
          </w:tcPr>
          <w:p>
            <w:pPr>
              <w:pStyle w:val="TableContents"/>
              <w:bidi w:val="0"/>
              <w:spacing w:before="0" w:after="283"/>
              <w:jc w:val="left"/>
              <w:rPr/>
            </w:pPr>
            <w:r>
              <w:rPr/>
              <w:t>Basic and diluted net income per Inflection Point Ordinary Share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1206" w:type="dxa"/>
            <w:tcBorders/>
            <w:shd w:fill="FFFFFF" w:val="clear"/>
            <w:vAlign w:val="center"/>
          </w:tcPr>
          <w:p>
            <w:pPr>
              <w:pStyle w:val="TableContents"/>
              <w:bidi w:val="0"/>
              <w:spacing w:before="0" w:after="283"/>
              <w:jc w:val="right"/>
              <w:rPr/>
            </w:pPr>
            <w:r>
              <w:rPr/>
              <w:t>0.18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1074" w:type="dxa"/>
            <w:tcBorders/>
            <w:shd w:fill="FFFFFF" w:val="clear"/>
            <w:vAlign w:val="center"/>
          </w:tcPr>
          <w:p>
            <w:pPr>
              <w:pStyle w:val="TableContents"/>
              <w:bidi w:val="0"/>
              <w:spacing w:before="0" w:after="283"/>
              <w:jc w:val="right"/>
              <w:rPr/>
            </w:pPr>
            <w:r>
              <w:rPr/>
              <w:t>0.18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numerator and denominator of the basic and diluted historical net loss per share of Merlin were calculated as follows:</w:t>
      </w:r>
    </w:p>
    <w:p>
      <w:pPr>
        <w:pStyle w:val="TextBody"/>
        <w:bidi w:val="0"/>
        <w:spacing w:before="0" w:after="0"/>
        <w:ind w:left="0" w:right="0" w:hanging="0"/>
        <w:jc w:val="both"/>
        <w:rPr>
          <w:caps w:val="false"/>
          <w:smallCaps w:val="false"/>
        </w:rPr>
      </w:pPr>
      <w:r>
        <w:rPr>
          <w:caps w:val="false"/>
          <w:smallCaps w:val="false"/>
        </w:rPr>
        <w:t> </w:t>
      </w:r>
    </w:p>
    <w:tbl>
      <w:tblPr>
        <w:tblW w:w="8535" w:type="dxa"/>
        <w:jc w:val="left"/>
        <w:tblInd w:w="0" w:type="dxa"/>
        <w:tblLayout w:type="fixed"/>
        <w:tblCellMar>
          <w:top w:w="0" w:type="dxa"/>
          <w:left w:w="0" w:type="dxa"/>
          <w:bottom w:w="0" w:type="dxa"/>
          <w:right w:w="0" w:type="dxa"/>
        </w:tblCellMar>
      </w:tblPr>
      <w:tblGrid>
        <w:gridCol w:w="6950"/>
        <w:gridCol w:w="60"/>
        <w:gridCol w:w="176"/>
        <w:gridCol w:w="1239"/>
        <w:gridCol w:w="110"/>
      </w:tblGrid>
      <w:tr>
        <w:trPr/>
        <w:tc>
          <w:tcPr>
            <w:tcW w:w="69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110" w:type="dxa"/>
            <w:tcBorders/>
            <w:vAlign w:val="center"/>
          </w:tcPr>
          <w:p>
            <w:pPr>
              <w:pStyle w:val="TableContents"/>
              <w:bidi w:val="0"/>
              <w:spacing w:before="0" w:after="283"/>
              <w:ind w:left="0" w:right="0" w:hanging="180"/>
              <w:jc w:val="left"/>
              <w:rPr/>
            </w:pPr>
            <w:r>
              <w:rPr/>
              <w:t> </w:t>
            </w:r>
          </w:p>
        </w:tc>
      </w:tr>
      <w:tr>
        <w:trPr/>
        <w:tc>
          <w:tcPr>
            <w:tcW w:w="6950"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(74,778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950" w:type="dxa"/>
            <w:tcBorders/>
            <w:shd w:fill="FFFFFF" w:val="clear"/>
            <w:vAlign w:val="center"/>
          </w:tcPr>
          <w:p>
            <w:pPr>
              <w:pStyle w:val="TableContents"/>
              <w:bidi w:val="0"/>
              <w:spacing w:before="0" w:after="283"/>
              <w:jc w:val="left"/>
              <w:rPr/>
            </w:pPr>
            <w:r>
              <w:rPr/>
              <w:t>Deemed dividend on exchange of 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(345,717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95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(420,495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95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Weighted 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5,211,618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50" w:type="dxa"/>
            <w:tcBorders/>
            <w:shd w:fill="FFFFFF" w:val="clear"/>
            <w:vAlign w:val="center"/>
          </w:tcPr>
          <w:p>
            <w:pPr>
              <w:pStyle w:val="TableContents"/>
              <w:bidi w:val="0"/>
              <w:spacing w:before="0" w:after="283"/>
              <w:jc w:val="left"/>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(80.68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numerator and denominator of the basic and diluted pro forma net loss per share of New Merlin was calculated as follows:</w:t>
      </w:r>
    </w:p>
    <w:p>
      <w:pPr>
        <w:pStyle w:val="TextBody"/>
        <w:bidi w:val="0"/>
        <w:spacing w:before="0" w:after="0"/>
        <w:ind w:left="0" w:right="0" w:hanging="0"/>
        <w:jc w:val="both"/>
        <w:rPr>
          <w:caps w:val="false"/>
          <w:smallCaps w:val="false"/>
        </w:rPr>
      </w:pPr>
      <w:r>
        <w:rPr>
          <w:caps w:val="false"/>
          <w:smallCaps w:val="false"/>
        </w:rPr>
        <w:t> </w:t>
      </w:r>
    </w:p>
    <w:tbl>
      <w:tblPr>
        <w:tblW w:w="8145" w:type="dxa"/>
        <w:jc w:val="left"/>
        <w:tblInd w:w="0" w:type="dxa"/>
        <w:tblLayout w:type="fixed"/>
        <w:tblCellMar>
          <w:top w:w="0" w:type="dxa"/>
          <w:left w:w="0" w:type="dxa"/>
          <w:bottom w:w="0" w:type="dxa"/>
          <w:right w:w="0" w:type="dxa"/>
        </w:tblCellMar>
      </w:tblPr>
      <w:tblGrid>
        <w:gridCol w:w="6560"/>
        <w:gridCol w:w="60"/>
        <w:gridCol w:w="159"/>
        <w:gridCol w:w="1256"/>
        <w:gridCol w:w="110"/>
      </w:tblGrid>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11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Combined</w:t>
            </w:r>
          </w:p>
        </w:tc>
        <w:tc>
          <w:tcPr>
            <w:tcW w:w="11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(66,847</w:t>
            </w:r>
          </w:p>
        </w:tc>
        <w:tc>
          <w:tcPr>
            <w:tcW w:w="110" w:type="dxa"/>
            <w:tcBorders/>
            <w:shd w:fill="CCEEFF" w:val="clear"/>
            <w:vAlign w:val="center"/>
          </w:tcPr>
          <w:p>
            <w:pPr>
              <w:pStyle w:val="TableContents"/>
              <w:bidi w:val="0"/>
              <w:spacing w:before="0" w:after="283"/>
              <w:jc w:val="left"/>
              <w:rPr/>
            </w:pPr>
            <w:r>
              <w:rPr/>
              <w:t>)</w:t>
            </w:r>
          </w:p>
        </w:tc>
      </w:tr>
      <w:tr>
        <w:trPr/>
        <w:tc>
          <w:tcPr>
            <w:tcW w:w="6560" w:type="dxa"/>
            <w:tcBorders/>
            <w:shd w:fill="FFFFFF" w:val="clear"/>
            <w:vAlign w:val="center"/>
          </w:tcPr>
          <w:p>
            <w:pPr>
              <w:pStyle w:val="TableContents"/>
              <w:bidi w:val="0"/>
              <w:spacing w:before="0" w:after="283"/>
              <w:jc w:val="left"/>
              <w:rPr/>
            </w:pPr>
            <w:r>
              <w:rPr/>
              <w:t>Cumulative Series A  Preferred Stock dividends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(31,270</w:t>
            </w:r>
          </w:p>
        </w:tc>
        <w:tc>
          <w:tcPr>
            <w:tcW w:w="110" w:type="dxa"/>
            <w:tcBorders/>
            <w:shd w:fill="FFFFFF" w:val="clear"/>
            <w:vAlign w:val="center"/>
          </w:tcPr>
          <w:p>
            <w:pPr>
              <w:pStyle w:val="TableContents"/>
              <w:bidi w:val="0"/>
              <w:spacing w:before="0" w:after="283"/>
              <w:jc w:val="left"/>
              <w:rPr/>
            </w:pPr>
            <w:r>
              <w:rPr/>
              <w:t>)</w:t>
            </w:r>
          </w:p>
        </w:tc>
      </w:tr>
      <w:tr>
        <w:trPr/>
        <w:tc>
          <w:tcPr>
            <w:tcW w:w="6560" w:type="dxa"/>
            <w:tcBorders/>
            <w:shd w:fill="CCEEFF" w:val="clear"/>
            <w:vAlign w:val="center"/>
          </w:tcPr>
          <w:p>
            <w:pPr>
              <w:pStyle w:val="TableContents"/>
              <w:bidi w:val="0"/>
              <w:spacing w:before="0" w:after="283"/>
              <w:jc w:val="left"/>
              <w:rPr/>
            </w:pPr>
            <w:r>
              <w:rPr/>
              <w:t>Net loss attributable to holders of New Merlin Common Stock</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(98,117</w:t>
            </w:r>
          </w:p>
        </w:tc>
        <w:tc>
          <w:tcPr>
            <w:tcW w:w="110" w:type="dxa"/>
            <w:tcBorders/>
            <w:shd w:fill="CCEEFF" w:val="clear"/>
            <w:vAlign w:val="center"/>
          </w:tcPr>
          <w:p>
            <w:pPr>
              <w:pStyle w:val="TableContents"/>
              <w:bidi w:val="0"/>
              <w:spacing w:before="0" w:after="283"/>
              <w:jc w:val="left"/>
              <w:rPr/>
            </w:pPr>
            <w:r>
              <w:rPr/>
              <w:t>)</w:t>
            </w:r>
          </w:p>
        </w:tc>
      </w:tr>
      <w:tr>
        <w:trPr/>
        <w:tc>
          <w:tcPr>
            <w:tcW w:w="656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Weighted average shares outstanding of New Merlin Common Stock</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84,134,682</w:t>
            </w:r>
          </w:p>
        </w:tc>
        <w:tc>
          <w:tcPr>
            <w:tcW w:w="11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Net loss per share of New Merlin Common Stock</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(1.17</w:t>
            </w:r>
          </w:p>
        </w:tc>
        <w:tc>
          <w:tcPr>
            <w:tcW w:w="110" w:type="dxa"/>
            <w:tcBorders/>
            <w:shd w:fill="FFFFFF" w:val="clear"/>
            <w:vAlign w:val="center"/>
          </w:tcPr>
          <w:p>
            <w:pPr>
              <w:pStyle w:val="TableContents"/>
              <w:bidi w:val="0"/>
              <w:spacing w:before="0" w:after="283"/>
              <w:jc w:val="left"/>
              <w:rPr/>
            </w:pPr>
            <w:r>
              <w:rPr/>
              <w:t>)</w:t>
            </w:r>
          </w:p>
        </w:tc>
      </w:tr>
      <w:tr>
        <w:trPr/>
        <w:tc>
          <w:tcPr>
            <w:tcW w:w="6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Pro forma weighted average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Public Shareholders and Rightsholders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4,949,448</w:t>
            </w:r>
          </w:p>
        </w:tc>
        <w:tc>
          <w:tcPr>
            <w:tcW w:w="11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Sponsor</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8,800,833</w:t>
            </w:r>
          </w:p>
        </w:tc>
        <w:tc>
          <w:tcPr>
            <w:tcW w:w="11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Total Inflection Point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13,750,281</w:t>
            </w:r>
          </w:p>
        </w:tc>
        <w:tc>
          <w:tcPr>
            <w:tcW w:w="11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Merlin</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70,384,401</w:t>
            </w:r>
          </w:p>
        </w:tc>
        <w:tc>
          <w:tcPr>
            <w:tcW w:w="11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Pro forma weighted average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84,134,682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calculating diluted earnings per share, the following outstanding potentially dilutive common stock equivalents have been excluded from the computation of diluted net loss per share due to their anti-dilutive effect: (i) 21,715,451 shares of Series A Preferred Stock, (ii) warrants to purchase 21,157,300 shares of New Merlin Common Stock, and (iii) New Merlin Options exercisable for 7,631,497 shares of New Merlin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86" w:name="ea028257401ex99-4.htm"/>
      <w:bookmarkStart w:id="87" w:name="ksea028257401ex994"/>
      <w:bookmarkEnd w:id="86"/>
      <w:bookmarkEnd w:id="87"/>
      <w:r>
        <w:rPr>
          <w:b/>
        </w:rPr>
        <w:t>Exhibit 99.4</w:t>
      </w:r>
      <w:r>
        <w:br w:type="page"/>
      </w:r>
    </w:p>
    <w:p>
      <w:pPr>
        <w:pStyle w:val="TextBody"/>
        <w:bidi w:val="0"/>
        <w:jc w:val="right"/>
        <w:rPr/>
      </w:pPr>
      <w:r>
        <w:rPr/>
        <w:t> </w:t>
      </w:r>
    </w:p>
    <w:p>
      <w:pPr>
        <w:pStyle w:val="TextBody"/>
        <w:bidi w:val="0"/>
        <w:spacing w:before="0" w:after="283"/>
        <w:jc w:val="left"/>
        <w:rPr/>
      </w:pPr>
      <w:r>
        <w:rPr/>
        <w:drawing>
          <wp:inline distT="0" distB="0" distL="0" distR="0">
            <wp:extent cx="226695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266950" cy="4191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Merlin and Inflection Point Acquisition Corp. IV Announce Closing of Business Combination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Transaction provides more than $200M in gross proceeds to accelerate commercialization of AI-powered autonomous aviation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Merlin to Begin Trading on March 17th on the NASDAQ Under Ticker Symbol “MRLN”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Boston, Mass. — March 16, 2026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shd w:fill="FFFFFF" w:val="clear"/>
        </w:rPr>
        <w:t>Merlin, Inc.,</w:t>
      </w:r>
      <w:r>
        <w:rPr>
          <w:rFonts w:ascii="Times New Roman;Times;Serif" w:hAnsi="Times New Roman;Times;Serif"/>
          <w:b w:val="false"/>
          <w:i w:val="false"/>
          <w:caps w:val="false"/>
          <w:smallCaps w:val="false"/>
          <w:sz w:val="20"/>
          <w:shd w:fill="FFFFFF" w:val="clear"/>
        </w:rPr>
        <w:t xml:space="preserve"> an aerospace and defense technology company building the operating system of record for autonomous flight, today announced the closing of its business combination with Inflection Point Acquisition Corp. IV, a SPAC led and backed by the management team of Inflection Point Asset Management (Inflection Point). The Business Combination was approved by Inflection Point Acquisition Corp. IV stockholders in a special meeting held on March 12, 2026 and formally closed on March 16, 2026. On March 17, 2026, the combined company will begin trading on NASDAQ under the ticker symbol “MRLN.”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transaction provides approximately $200 million in gross proceeds, including a fully committed PIPE anchored by Inflection Point, existing Merlin investors, including Baillie Gifford, and several new institutional investors. The capital further strengthens the company’s balance sheet. As a leading defense prime contractor for AI-powered autonomous aviation. The deal values Merlin at $800 million pre-money.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Merlin believes the future of flight is autonomous and with the completion of this transaction, the company is positioned to scale deployment of the Merlin Pilot, an AI-powered autonomous flight system designed from first principles for the purpose of flying any aircraft — military or civilian — from takeoff to touchdown, with or without a human crew on board. Every aircraft equipped with the Merlin Pilot generates data that can make the system smarter. Each new aircraft type, environment, and mission can expand the platform’s capabilities - creating compounding advantages that grow with every flight. Autonomy replaces legacy constraints with possibilities across aircraft design, flight economics, mission profiles, and the role of humans. Merlin is built from the ground up to anticipate these possibilities, and to pioneer this autonomous future’s certified, regulated and replicable commercial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At Merlin, we are rethinking what flight can be. Aviation up to now was defined by the humans who fly aircraft — and so aviation design, engineering, and operations reflected a human focus. Merlin was founded on the insight that, when you challenge that core human-centricity and all its related assumptions, the nature and possibilities of aviation change. We believe those shifts create a massive economic and industrial opportunity,” said Matt George, CEO and founder of Merlin. “We are working with our customers and partners to identify all the ways that assured autonomy can solve real problems and meaningfully improve mission execution and outcomes. We hope our investors will appreciate and understand our methodical approach to innovating and building for the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We believe Merlin is building the world’s leading AI-enabled autonomous pilot, with applications capable of transforming national security and civil aviation,” said Michael Blitzer, CEO of Inflection Point. “Today’s public listing strengthens the company’s first-mover advantage, opens new opportunities for partnerships with many of the world’s leading aerospace companies, and provides a platform to consolidate a fragmented, high-growth industry. Merlin is a strategically important asset at an inflection point of growth, and is uniquely positioned to lead the next era of aviation autonomy.”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Inflection Point is an experienced SPAC sponsor that seeks to identify, take public, and scale high-impact and strategically important technology companies. Its prior transactions are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Intuitive Machines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(Nasdaq: LUNR) 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USA Rare Earth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(Nasdaq: USAR).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Advisors</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TD Cowen acted as exclusive Financial and Capital Markets Advisor to Merlin. TD Cowen, Cantor Fitzgerald and Cohen &amp; Company Capital Markets, a division of Cohen &amp; Company Securities, LLC, served as joint placement agents on the PIPE in connection with the Business Combination. Raymond James and Canaccord Genuity served as Capital Market Advisors to Merlin and Inflection Point, respectively. Latham &amp; Watkins LLP served as legal counsel to Merlin. White &amp; Case LLP served as legal counsel to Inflection Point. Greenberg Traurig, LLP served as legal counsel to TD Cowen, Cantor Fitzgerald, Raymond James and Canaccord Genuity.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Merlin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Merlin is an aerospace and defense technology company building the operating system of record for autonomous flight. Through a first-principles approach, the company is redefining what’s possible across aviation, aerospace, and defense with the goal of delivering full-stack autonomy for any aircraft, military or civilian, from takeoff to touchdown. The Merlin Pilot system powers a growing range of aircraft and mission profiles, proven through hundreds of autonomous flights from test facilities across the globe. With $100M+ total in awarded contracts from military customers, Merlin is advancing American leadership in autonomous aviation by helping to solve national security challenges through safe, reliable autonomy. To learn more, visit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www.merlinlabs.com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or follow us on 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@merlinaero.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Media Contact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Kristen Georgette</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617-842-6064</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merlin@pluckpr.com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Investor Relations Contact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investor.relations@merlinlabs.com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Certain statements made herein are not historical facts but may be considered “forward-looking statements” within the meaning of Section 27A of the Securities Act of 1933 and Section 21E of the Securities Exchange Act of 1934. Forward-looking statements generally are accompanied by words such as “believe,” “may,” “will,” “estimate,” “continue,” “anticipate,” “intend,” “expect,” “should,” “would,” “plan,” “predict,” “potential,” “seem,” “seek,” “future,” “outlook” or the negatives of these terms or variations of them or similar terminology or expressions that predict or indicate future events or trends or that are not statements of historical matters. These forward-looking statements include, but are not limited to, statements regarding future events, the estimated or anticipated future results and benefits of the combined company following the business combination, future opportunities for the combined company and other statements that are not historical facts.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These statements are based on the current expectations of Merlin’s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Merlin. These statements are subject to a number of risks and uncertainties regarding Merlin’s business, and actual results may differ materially. These risks and uncertainties include, but are not limited to: general economic, political and business conditions; the outcome of any legal proceedings that may be instituted against the parties following the announcement of the closing of the business combination; failure to realize the anticipated benefits of the business combination; the risk that the business combination disrupts current plans and operations as a result of the consummation of the business combination; the risks related to the rollout of Merlin’s business and the timing of expected business milestones; the effects of competition on Merlin’s business; the ability of the combined company to execute its growth strategy, manage growth profitably and retain its key employees; the ability of the combined company to obtain or maintain the listing of its securities on a U.S. national securities exchange following the business combination; costs related to the business combination; and other risks that will be detailed from time to time in filings with the U.S. Securities and Exchange Commission (the “SEC”). The foregoing list of risk factors is not exhaustive. There may be additional risks that Merlin does not know or that Merlin currently believes are immaterial that could also cause actual results to differ from those contained in forward-looking statements. In addition, forward-looking statements provide Merlin’s expectations, plans or forecasts of future events and views as of the date of this communication. Merlin anticipates that subsequent events and developments will cause their assessments to change. However, while Merlin may elect to update these forward-looking statements in the future, Merlin specifically disclaims any obligation to do so. These forward-looking statements should not be relied upon as representing Merlin’s assessments as of any date subsequent to the date of this communication. Accordingly, undue reliance should not be placed upon the forward-looking statements. Nothing herein should be regarded as a representation by any person that the forward-looking statements set forth herein will be achieved or results of such forward-looking statements will be achieved.</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Photos accompanying this announcement are available at:</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https://www.globenewswire.com/NewsRoom/AttachmentNg/edca0328-818f-4824-b649-bac06cb6ace7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https://www.globenewswire.com/NewsRoom/AttachmentNg/43ab92ed-ed07-4125-9df2-0ab697b23f60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857500" cy="1609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2857500" cy="1609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Merlin’s aircraft flying overhead at the company’s Quonset, RI hangar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857500" cy="1676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9"/>
                    <a:stretch>
                      <a:fillRect/>
                    </a:stretch>
                  </pic:blipFill>
                  <pic:spPr bwMode="auto">
                    <a:xfrm>
                      <a:off x="0" y="0"/>
                      <a:ext cx="2857500" cy="16764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C-130J flying overhead at Merlin’s Quonset, RI hangar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spacing w:before="0" w:after="283"/>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28707/000121390026013897/ea025816305ex2-2_inflect4.htm" TargetMode="External"/><Relationship Id="rId3" Type="http://schemas.openxmlformats.org/officeDocument/2006/relationships/hyperlink" Target="http://www.sec.gov/Archives/edgar/data/2028707/000121390026013897/ea025816305ex4-5_inflect4.htm" TargetMode="External"/><Relationship Id="rId4" Type="http://schemas.openxmlformats.org/officeDocument/2006/relationships/hyperlink" Target="http://www.sec.gov/Archives/edgar/data/2028707/000121390026013897/ea025816305ex4-6_inflect4.htm" TargetMode="External"/><Relationship Id="rId5" Type="http://schemas.openxmlformats.org/officeDocument/2006/relationships/hyperlink" Target="http://www.sec.gov/Archives/edgar/data/2028707/000121390024085900/ea020902404ex4-1_bleich1.htm" TargetMode="External"/><Relationship Id="rId6" Type="http://schemas.openxmlformats.org/officeDocument/2006/relationships/hyperlink" Target="http://www.sec.gov/Archives/edgar/data/2028707/000121390024061026/ea020902401ex4-2_bleich.htm" TargetMode="External"/><Relationship Id="rId7" Type="http://schemas.openxmlformats.org/officeDocument/2006/relationships/hyperlink" Target="http://www.sec.gov/Archives/edgar/data/2028707/000121390024085900/ea020902404ex4-3_bleich1.htm" TargetMode="External"/><Relationship Id="rId8" Type="http://schemas.openxmlformats.org/officeDocument/2006/relationships/hyperlink" Target="http://www.sec.gov/Archives/edgar/data/2028707/000121390024094319/ea021972901ex4-1_bleich1.htm" TargetMode="External"/><Relationship Id="rId9" Type="http://schemas.openxmlformats.org/officeDocument/2006/relationships/hyperlink" Target="http://www.sec.gov/Archives/edgar/data/2028707/000121390025076126/ea025299601ex10-6_bleichro1.htm" TargetMode="External"/><Relationship Id="rId10" Type="http://schemas.openxmlformats.org/officeDocument/2006/relationships/hyperlink" Target="https://www.sec.gov/Archives/edgar/data/2028707/000121390025111321/ea026593401ex10-1_inflec4.htm" TargetMode="External"/><Relationship Id="rId11" Type="http://schemas.openxmlformats.org/officeDocument/2006/relationships/hyperlink" Target="http://www.sec.gov/Archives/edgar/data/2028707/000121390025111321/ea026593401ex10-2_inflec4.htm" TargetMode="External"/><Relationship Id="rId12" Type="http://schemas.openxmlformats.org/officeDocument/2006/relationships/hyperlink" Target="http://www.sec.gov/Archives/edgar/data/2028707/000121390024094319/ea021972901ex10-4_bleich1.htm" TargetMode="External"/><Relationship Id="rId13" Type="http://schemas.openxmlformats.org/officeDocument/2006/relationships/hyperlink" Target="http://www.sec.gov/Archives/edgar/data/2028707/000121390024094319/ea021972901ex10-3_bleich1.htm" TargetMode="External"/><Relationship Id="rId14" Type="http://schemas.openxmlformats.org/officeDocument/2006/relationships/hyperlink" Target="http://www.sec.gov/Archives/edgar/data/2028707/000121390024094319/ea021972901ex10-1_bleich1.htm" TargetMode="External"/><Relationship Id="rId15" Type="http://schemas.openxmlformats.org/officeDocument/2006/relationships/hyperlink" Target="https://www.sec.gov/Archives/edgar/data/2028707/000121390026013897/ea025816305ex10-18_inflect4.htm" TargetMode="External"/><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170685</Words>
  <Characters>914837</Characters>
  <CharactersWithSpaces>1090017</CharactersWithSpaces>
  <Paragraphs>17179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